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FB8" w:rsidRPr="00D67A3F" w:rsidRDefault="005D7FB8" w:rsidP="005D7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Verdana" w:hAnsi="Verdana" w:cs="Arial"/>
          <w:b/>
          <w:color w:val="000000"/>
          <w:sz w:val="20"/>
          <w:lang w:val="es-CO"/>
        </w:rPr>
      </w:pPr>
      <w:r w:rsidRPr="00D67A3F">
        <w:rPr>
          <w:rFonts w:ascii="Verdana" w:hAnsi="Verdana" w:cs="Arial"/>
          <w:b/>
          <w:color w:val="000000"/>
          <w:sz w:val="20"/>
          <w:lang w:val="es-CO"/>
        </w:rPr>
        <w:t>Anexo C (continuación)</w:t>
      </w:r>
    </w:p>
    <w:p w:rsidR="005D7FB8" w:rsidRPr="00030687" w:rsidRDefault="005D7FB8" w:rsidP="005D7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Verdana" w:hAnsi="Verdana" w:cs="Arial"/>
          <w:b/>
          <w:color w:val="000000"/>
          <w:sz w:val="20"/>
          <w:lang w:val="es-CO"/>
        </w:rPr>
      </w:pPr>
      <w:r w:rsidRPr="00030687">
        <w:rPr>
          <w:rFonts w:ascii="Verdana" w:hAnsi="Verdana" w:cs="Arial"/>
          <w:b/>
          <w:color w:val="000000"/>
          <w:sz w:val="20"/>
          <w:lang w:val="es-CO"/>
        </w:rPr>
        <w:t>Plantilla Para Verificar Progreso</w:t>
      </w:r>
    </w:p>
    <w:p w:rsidR="005D7FB8" w:rsidRPr="00030687" w:rsidRDefault="005D7FB8" w:rsidP="005D7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Verdana" w:hAnsi="Verdana" w:cs="Arial"/>
          <w:b/>
          <w:color w:val="000000"/>
          <w:sz w:val="20"/>
          <w:lang w:val="es-ES"/>
        </w:rPr>
      </w:pPr>
    </w:p>
    <w:tbl>
      <w:tblPr>
        <w:tblW w:w="0" w:type="auto"/>
        <w:tblBorders>
          <w:top w:val="dotted" w:sz="2" w:space="0" w:color="4F81BD"/>
          <w:left w:val="dotted" w:sz="2" w:space="0" w:color="4F81BD"/>
          <w:bottom w:val="dotted" w:sz="2" w:space="0" w:color="4F81BD"/>
          <w:right w:val="dotted" w:sz="2" w:space="0" w:color="4F81BD"/>
          <w:insideH w:val="dotted" w:sz="2" w:space="0" w:color="4F81BD"/>
          <w:insideV w:val="dotted" w:sz="2" w:space="0" w:color="4F81BD"/>
        </w:tblBorders>
        <w:tblLook w:val="04A0" w:firstRow="1" w:lastRow="0" w:firstColumn="1" w:lastColumn="0" w:noHBand="0" w:noVBand="1"/>
      </w:tblPr>
      <w:tblGrid>
        <w:gridCol w:w="2339"/>
        <w:gridCol w:w="6715"/>
      </w:tblGrid>
      <w:tr w:rsidR="005D7FB8" w:rsidRPr="00030687" w:rsidTr="00AB0B53">
        <w:tc>
          <w:tcPr>
            <w:tcW w:w="2448" w:type="dxa"/>
          </w:tcPr>
          <w:p w:rsidR="005D7FB8" w:rsidRPr="00030687" w:rsidRDefault="005D7FB8" w:rsidP="00AB0B53">
            <w:pPr>
              <w:rPr>
                <w:rFonts w:ascii="Verdana" w:hAnsi="Verdana" w:cs="Arial"/>
                <w:sz w:val="20"/>
              </w:rPr>
            </w:pPr>
            <w:r w:rsidRPr="00030687">
              <w:rPr>
                <w:rFonts w:ascii="Verdana" w:hAnsi="Verdana" w:cs="Arial"/>
                <w:sz w:val="20"/>
              </w:rPr>
              <w:t>Fecha:</w:t>
            </w:r>
          </w:p>
        </w:tc>
        <w:tc>
          <w:tcPr>
            <w:tcW w:w="7128" w:type="dxa"/>
          </w:tcPr>
          <w:p w:rsidR="005D7FB8" w:rsidRPr="00030687" w:rsidRDefault="005D7FB8" w:rsidP="00AB0B53">
            <w:pPr>
              <w:rPr>
                <w:rFonts w:ascii="Verdana" w:hAnsi="Verdana" w:cs="Arial"/>
                <w:sz w:val="20"/>
              </w:rPr>
            </w:pPr>
          </w:p>
        </w:tc>
      </w:tr>
      <w:tr w:rsidR="005D7FB8" w:rsidRPr="00030687" w:rsidTr="00AB0B53">
        <w:tc>
          <w:tcPr>
            <w:tcW w:w="2448" w:type="dxa"/>
          </w:tcPr>
          <w:p w:rsidR="005D7FB8" w:rsidRPr="00030687" w:rsidRDefault="005D7FB8" w:rsidP="00AB0B53">
            <w:pPr>
              <w:rPr>
                <w:rFonts w:ascii="Verdana" w:hAnsi="Verdana" w:cs="Arial"/>
                <w:sz w:val="20"/>
              </w:rPr>
            </w:pPr>
            <w:r w:rsidRPr="00030687">
              <w:rPr>
                <w:rFonts w:ascii="Verdana" w:hAnsi="Verdana" w:cs="Arial"/>
                <w:sz w:val="20"/>
              </w:rPr>
              <w:t>De:</w:t>
            </w:r>
          </w:p>
        </w:tc>
        <w:tc>
          <w:tcPr>
            <w:tcW w:w="7128" w:type="dxa"/>
          </w:tcPr>
          <w:p w:rsidR="005D7FB8" w:rsidRPr="00030687" w:rsidRDefault="005D7FB8" w:rsidP="00AB0B53">
            <w:pPr>
              <w:rPr>
                <w:rFonts w:ascii="Verdana" w:hAnsi="Verdana" w:cs="Arial"/>
                <w:sz w:val="20"/>
              </w:rPr>
            </w:pPr>
            <w:r w:rsidRPr="00030687">
              <w:rPr>
                <w:rFonts w:ascii="Verdana" w:hAnsi="Verdana" w:cs="Arial"/>
                <w:sz w:val="20"/>
              </w:rPr>
              <w:t>Eduardo Mata Montero</w:t>
            </w:r>
          </w:p>
        </w:tc>
      </w:tr>
      <w:tr w:rsidR="005D7FB8" w:rsidRPr="006A264C" w:rsidTr="00AB0B53">
        <w:tc>
          <w:tcPr>
            <w:tcW w:w="2448" w:type="dxa"/>
          </w:tcPr>
          <w:p w:rsidR="005D7FB8" w:rsidRPr="00030687" w:rsidRDefault="005D7FB8" w:rsidP="00AB0B53">
            <w:pPr>
              <w:rPr>
                <w:rFonts w:ascii="Verdana" w:hAnsi="Verdana" w:cs="Arial"/>
                <w:sz w:val="20"/>
              </w:rPr>
            </w:pPr>
            <w:r w:rsidRPr="00030687">
              <w:rPr>
                <w:rFonts w:ascii="Verdana" w:hAnsi="Verdana" w:cs="Arial"/>
                <w:sz w:val="20"/>
              </w:rPr>
              <w:t>A:</w:t>
            </w:r>
          </w:p>
        </w:tc>
        <w:tc>
          <w:tcPr>
            <w:tcW w:w="7128" w:type="dxa"/>
          </w:tcPr>
          <w:p w:rsidR="005D7FB8" w:rsidRPr="00030687" w:rsidRDefault="005D7FB8" w:rsidP="00AB0B53">
            <w:pPr>
              <w:rPr>
                <w:rFonts w:ascii="Verdana" w:hAnsi="Verdana" w:cs="Arial"/>
                <w:sz w:val="20"/>
                <w:lang w:val="es-CR"/>
              </w:rPr>
            </w:pPr>
            <w:r>
              <w:rPr>
                <w:rFonts w:ascii="Verdana" w:hAnsi="Verdana" w:cs="Arial"/>
                <w:sz w:val="20"/>
                <w:lang w:val="es-CR"/>
              </w:rPr>
              <w:t>Yoriko Yasukawa</w:t>
            </w:r>
            <w:r w:rsidRPr="00030687">
              <w:rPr>
                <w:rFonts w:ascii="Verdana" w:hAnsi="Verdana" w:cs="Arial"/>
                <w:sz w:val="20"/>
                <w:lang w:val="es-CR"/>
              </w:rPr>
              <w:t>, Representante Residente PNUD</w:t>
            </w:r>
          </w:p>
        </w:tc>
      </w:tr>
      <w:tr w:rsidR="005D7FB8" w:rsidRPr="006A264C" w:rsidTr="00AB0B53">
        <w:tc>
          <w:tcPr>
            <w:tcW w:w="2448" w:type="dxa"/>
          </w:tcPr>
          <w:p w:rsidR="005D7FB8" w:rsidRPr="00030687" w:rsidRDefault="005D7FB8" w:rsidP="00AB0B53">
            <w:pPr>
              <w:rPr>
                <w:rFonts w:ascii="Verdana" w:hAnsi="Verdana" w:cs="Arial"/>
                <w:sz w:val="20"/>
              </w:rPr>
            </w:pPr>
            <w:proofErr w:type="spellStart"/>
            <w:r w:rsidRPr="00030687">
              <w:rPr>
                <w:rFonts w:ascii="Verdana" w:hAnsi="Verdana" w:cs="Arial"/>
                <w:sz w:val="20"/>
              </w:rPr>
              <w:t>Copia</w:t>
            </w:r>
            <w:proofErr w:type="spellEnd"/>
            <w:r w:rsidRPr="00030687">
              <w:rPr>
                <w:rFonts w:ascii="Verdana" w:hAnsi="Verdana" w:cs="Arial"/>
                <w:sz w:val="20"/>
              </w:rPr>
              <w:t>:</w:t>
            </w:r>
          </w:p>
        </w:tc>
        <w:tc>
          <w:tcPr>
            <w:tcW w:w="7128" w:type="dxa"/>
          </w:tcPr>
          <w:p w:rsidR="005D7FB8" w:rsidRPr="00030687" w:rsidRDefault="005D7FB8" w:rsidP="00AB0B53">
            <w:pPr>
              <w:rPr>
                <w:rFonts w:ascii="Verdana" w:hAnsi="Verdana" w:cs="Arial"/>
                <w:sz w:val="20"/>
                <w:lang w:val="es-ES"/>
              </w:rPr>
            </w:pPr>
            <w:r w:rsidRPr="00030687">
              <w:rPr>
                <w:rFonts w:ascii="Verdana" w:hAnsi="Verdana" w:cs="Arial"/>
                <w:sz w:val="20"/>
                <w:lang w:val="es-ES"/>
              </w:rPr>
              <w:t>Kifah Sasa, Oficial de Ambiente, PNUD</w:t>
            </w:r>
          </w:p>
        </w:tc>
      </w:tr>
      <w:tr w:rsidR="005D7FB8" w:rsidRPr="006A264C" w:rsidTr="00AB0B53">
        <w:tc>
          <w:tcPr>
            <w:tcW w:w="2448" w:type="dxa"/>
          </w:tcPr>
          <w:p w:rsidR="005D7FB8" w:rsidRPr="00030687" w:rsidRDefault="005D7FB8" w:rsidP="00AB0B53">
            <w:pPr>
              <w:rPr>
                <w:rFonts w:ascii="Verdana" w:hAnsi="Verdana" w:cs="Arial"/>
                <w:sz w:val="20"/>
              </w:rPr>
            </w:pPr>
            <w:proofErr w:type="spellStart"/>
            <w:r w:rsidRPr="00030687">
              <w:rPr>
                <w:rFonts w:ascii="Verdana" w:hAnsi="Verdana" w:cs="Arial"/>
                <w:sz w:val="20"/>
              </w:rPr>
              <w:t>Asunto</w:t>
            </w:r>
            <w:proofErr w:type="spellEnd"/>
            <w:r w:rsidRPr="00030687">
              <w:rPr>
                <w:rFonts w:ascii="Verdana" w:hAnsi="Verdana" w:cs="Arial"/>
                <w:sz w:val="20"/>
              </w:rPr>
              <w:t>:</w:t>
            </w:r>
          </w:p>
        </w:tc>
        <w:tc>
          <w:tcPr>
            <w:tcW w:w="7128" w:type="dxa"/>
          </w:tcPr>
          <w:p w:rsidR="005D7FB8" w:rsidRPr="00030687" w:rsidRDefault="005D7FB8" w:rsidP="00AB0B53">
            <w:pPr>
              <w:rPr>
                <w:rFonts w:ascii="Verdana" w:hAnsi="Verdana" w:cs="Arial"/>
                <w:sz w:val="20"/>
                <w:lang w:val="es-ES"/>
              </w:rPr>
            </w:pPr>
            <w:r w:rsidRPr="00030687">
              <w:rPr>
                <w:rFonts w:ascii="Verdana" w:hAnsi="Verdana" w:cs="Arial"/>
                <w:sz w:val="20"/>
                <w:lang w:val="es-ES"/>
              </w:rPr>
              <w:t>Informe de Avance del Proyecto</w:t>
            </w:r>
          </w:p>
        </w:tc>
      </w:tr>
    </w:tbl>
    <w:p w:rsidR="005D7FB8" w:rsidRPr="00030687" w:rsidRDefault="005D7FB8" w:rsidP="005D7FB8">
      <w:pPr>
        <w:rPr>
          <w:rFonts w:ascii="Verdana" w:hAnsi="Verdana" w:cs="Arial"/>
          <w:sz w:val="20"/>
          <w:lang w:val="es-CO"/>
        </w:rPr>
      </w:pPr>
    </w:p>
    <w:tbl>
      <w:tblPr>
        <w:tblW w:w="9021" w:type="dxa"/>
        <w:tblInd w:w="18" w:type="dxa"/>
        <w:tblLook w:val="04A0" w:firstRow="1" w:lastRow="0" w:firstColumn="1" w:lastColumn="0" w:noHBand="0" w:noVBand="1"/>
      </w:tblPr>
      <w:tblGrid>
        <w:gridCol w:w="3510"/>
        <w:gridCol w:w="5511"/>
      </w:tblGrid>
      <w:tr w:rsidR="005D7FB8" w:rsidRPr="00030687" w:rsidTr="009C2A48">
        <w:trPr>
          <w:trHeight w:val="300"/>
        </w:trPr>
        <w:tc>
          <w:tcPr>
            <w:tcW w:w="3510" w:type="dxa"/>
            <w:tcBorders>
              <w:top w:val="dotted" w:sz="2" w:space="0" w:color="4F81BD"/>
              <w:left w:val="dotted" w:sz="2" w:space="0" w:color="4F81BD"/>
              <w:bottom w:val="dotted" w:sz="2" w:space="0" w:color="4F81BD"/>
              <w:right w:val="dotted" w:sz="2" w:space="0" w:color="4F81BD"/>
            </w:tcBorders>
            <w:shd w:val="clear" w:color="auto" w:fill="auto"/>
            <w:hideMark/>
          </w:tcPr>
          <w:p w:rsidR="005D7FB8" w:rsidRPr="00030687" w:rsidRDefault="005D7FB8" w:rsidP="00AB0B53">
            <w:pPr>
              <w:rPr>
                <w:rFonts w:ascii="Verdana" w:hAnsi="Verdana" w:cs="Arial"/>
                <w:color w:val="000000"/>
                <w:sz w:val="20"/>
              </w:rPr>
            </w:pPr>
            <w:r w:rsidRPr="00030687">
              <w:rPr>
                <w:rFonts w:ascii="Verdana" w:hAnsi="Verdana" w:cs="Arial"/>
                <w:color w:val="000000"/>
                <w:sz w:val="20"/>
              </w:rPr>
              <w:t>Número de Proyecto:</w:t>
            </w:r>
          </w:p>
        </w:tc>
        <w:tc>
          <w:tcPr>
            <w:tcW w:w="5511" w:type="dxa"/>
            <w:tcBorders>
              <w:top w:val="dotted" w:sz="2" w:space="0" w:color="4F81BD"/>
              <w:left w:val="dotted" w:sz="2" w:space="0" w:color="4F81BD"/>
              <w:bottom w:val="dotted" w:sz="2" w:space="0" w:color="4F81BD"/>
              <w:right w:val="dotted" w:sz="2" w:space="0" w:color="4F81BD"/>
            </w:tcBorders>
            <w:shd w:val="clear" w:color="auto" w:fill="auto"/>
            <w:hideMark/>
          </w:tcPr>
          <w:p w:rsidR="005D7FB8" w:rsidRPr="00030687" w:rsidRDefault="00B60CE0" w:rsidP="00AB0B53">
            <w:pPr>
              <w:rPr>
                <w:rFonts w:ascii="Verdana" w:hAnsi="Verdana" w:cs="Arial"/>
                <w:color w:val="000000"/>
                <w:sz w:val="20"/>
              </w:rPr>
            </w:pPr>
            <w:r>
              <w:rPr>
                <w:rFonts w:ascii="Verdana" w:hAnsi="Verdana" w:cs="Arial"/>
                <w:color w:val="000000"/>
                <w:sz w:val="20"/>
              </w:rPr>
              <w:t>COS/SGP/FSP/OP5/</w:t>
            </w:r>
          </w:p>
        </w:tc>
      </w:tr>
      <w:tr w:rsidR="005D7FB8" w:rsidRPr="006A264C" w:rsidTr="009C2A48">
        <w:trPr>
          <w:trHeight w:val="300"/>
        </w:trPr>
        <w:tc>
          <w:tcPr>
            <w:tcW w:w="3510" w:type="dxa"/>
            <w:tcBorders>
              <w:top w:val="dotted" w:sz="2" w:space="0" w:color="4F81BD"/>
              <w:left w:val="dotted" w:sz="2" w:space="0" w:color="4F81BD"/>
              <w:bottom w:val="dotted" w:sz="2" w:space="0" w:color="4F81BD"/>
              <w:right w:val="dotted" w:sz="2" w:space="0" w:color="4F81BD"/>
            </w:tcBorders>
            <w:shd w:val="clear" w:color="auto" w:fill="auto"/>
            <w:hideMark/>
          </w:tcPr>
          <w:p w:rsidR="005D7FB8" w:rsidRPr="00030687" w:rsidRDefault="005D7FB8" w:rsidP="00AB0B53">
            <w:pPr>
              <w:rPr>
                <w:rFonts w:ascii="Verdana" w:hAnsi="Verdana" w:cs="Arial"/>
                <w:color w:val="000000"/>
                <w:sz w:val="20"/>
              </w:rPr>
            </w:pPr>
            <w:r w:rsidRPr="00030687">
              <w:rPr>
                <w:rFonts w:ascii="Verdana" w:hAnsi="Verdana" w:cs="Arial"/>
                <w:color w:val="000000"/>
                <w:sz w:val="20"/>
              </w:rPr>
              <w:t>Titulo del Proyecto:</w:t>
            </w:r>
          </w:p>
        </w:tc>
        <w:tc>
          <w:tcPr>
            <w:tcW w:w="5511" w:type="dxa"/>
            <w:tcBorders>
              <w:top w:val="dotted" w:sz="2" w:space="0" w:color="4F81BD"/>
              <w:left w:val="dotted" w:sz="2" w:space="0" w:color="4F81BD"/>
              <w:bottom w:val="dotted" w:sz="2" w:space="0" w:color="4F81BD"/>
              <w:right w:val="dotted" w:sz="2" w:space="0" w:color="4F81BD"/>
            </w:tcBorders>
            <w:shd w:val="clear" w:color="auto" w:fill="auto"/>
            <w:hideMark/>
          </w:tcPr>
          <w:p w:rsidR="005D7FB8" w:rsidRPr="00A629CA" w:rsidRDefault="00A629CA" w:rsidP="00AB0B53">
            <w:pPr>
              <w:rPr>
                <w:rFonts w:ascii="Verdana" w:hAnsi="Verdana" w:cs="Arial"/>
                <w:color w:val="000000"/>
                <w:sz w:val="20"/>
                <w:lang w:val="es-CR"/>
              </w:rPr>
            </w:pPr>
            <w:r>
              <w:rPr>
                <w:spacing w:val="-2"/>
                <w:lang w:val="es-CR"/>
              </w:rPr>
              <w:t xml:space="preserve">Conservación y educación:  Apoyo a la conservación de las tortugas </w:t>
            </w:r>
            <w:proofErr w:type="spellStart"/>
            <w:r>
              <w:rPr>
                <w:spacing w:val="-2"/>
                <w:lang w:val="es-CR"/>
              </w:rPr>
              <w:t>Baula</w:t>
            </w:r>
            <w:proofErr w:type="spellEnd"/>
            <w:r w:rsidRPr="007725EA">
              <w:rPr>
                <w:i/>
                <w:spacing w:val="-2"/>
                <w:lang w:val="es-CR"/>
              </w:rPr>
              <w:t xml:space="preserve"> </w:t>
            </w:r>
            <w:r>
              <w:rPr>
                <w:i/>
                <w:spacing w:val="-2"/>
                <w:lang w:val="es-CR"/>
              </w:rPr>
              <w:t>(</w:t>
            </w:r>
            <w:proofErr w:type="spellStart"/>
            <w:r w:rsidRPr="00B83BA9">
              <w:rPr>
                <w:i/>
                <w:spacing w:val="-2"/>
                <w:lang w:val="es-CR"/>
              </w:rPr>
              <w:t>Dermochelyscoriacea</w:t>
            </w:r>
            <w:proofErr w:type="spellEnd"/>
            <w:r>
              <w:rPr>
                <w:i/>
                <w:spacing w:val="-2"/>
                <w:lang w:val="es-CR"/>
              </w:rPr>
              <w:t>)</w:t>
            </w:r>
            <w:r>
              <w:rPr>
                <w:spacing w:val="-2"/>
                <w:lang w:val="es-CR"/>
              </w:rPr>
              <w:t xml:space="preserve"> y Verde(</w:t>
            </w:r>
            <w:proofErr w:type="spellStart"/>
            <w:r w:rsidRPr="00B83BA9">
              <w:rPr>
                <w:i/>
                <w:spacing w:val="-2"/>
                <w:lang w:val="es-CR"/>
              </w:rPr>
              <w:t>Cheloniamydas</w:t>
            </w:r>
            <w:proofErr w:type="spellEnd"/>
            <w:r>
              <w:rPr>
                <w:spacing w:val="-2"/>
                <w:lang w:val="es-CR"/>
              </w:rPr>
              <w:t>) en la Costa Caribe de Costa Rica, por medio de la participación activa de jóvenes de las comunidades aledañas al Corredor Biológico Colorado-</w:t>
            </w:r>
            <w:proofErr w:type="spellStart"/>
            <w:r>
              <w:rPr>
                <w:spacing w:val="-2"/>
                <w:lang w:val="es-CR"/>
              </w:rPr>
              <w:t>Tortuguero</w:t>
            </w:r>
            <w:proofErr w:type="spellEnd"/>
          </w:p>
        </w:tc>
      </w:tr>
      <w:tr w:rsidR="005D7FB8" w:rsidRPr="00030687" w:rsidTr="009C2A48">
        <w:trPr>
          <w:trHeight w:val="300"/>
        </w:trPr>
        <w:tc>
          <w:tcPr>
            <w:tcW w:w="3510" w:type="dxa"/>
            <w:tcBorders>
              <w:top w:val="dotted" w:sz="2" w:space="0" w:color="4F81BD"/>
              <w:left w:val="dotted" w:sz="2" w:space="0" w:color="4F81BD"/>
              <w:bottom w:val="dotted" w:sz="2" w:space="0" w:color="4F81BD"/>
              <w:right w:val="dotted" w:sz="2" w:space="0" w:color="4F81BD"/>
            </w:tcBorders>
            <w:shd w:val="clear" w:color="auto" w:fill="auto"/>
            <w:hideMark/>
          </w:tcPr>
          <w:p w:rsidR="005D7FB8" w:rsidRPr="00030687" w:rsidRDefault="005D7FB8" w:rsidP="00AB0B53">
            <w:pPr>
              <w:rPr>
                <w:rFonts w:ascii="Verdana" w:hAnsi="Verdana" w:cs="Arial"/>
                <w:color w:val="000000"/>
                <w:sz w:val="20"/>
              </w:rPr>
            </w:pPr>
            <w:proofErr w:type="spellStart"/>
            <w:r w:rsidRPr="00030687">
              <w:rPr>
                <w:rFonts w:ascii="Verdana" w:hAnsi="Verdana" w:cs="Arial"/>
                <w:color w:val="000000"/>
                <w:sz w:val="20"/>
              </w:rPr>
              <w:t>Organización</w:t>
            </w:r>
            <w:proofErr w:type="spellEnd"/>
            <w:r w:rsidRPr="00030687">
              <w:rPr>
                <w:rFonts w:ascii="Verdana" w:hAnsi="Verdana" w:cs="Arial"/>
                <w:color w:val="000000"/>
                <w:sz w:val="20"/>
              </w:rPr>
              <w:t>:</w:t>
            </w:r>
          </w:p>
        </w:tc>
        <w:tc>
          <w:tcPr>
            <w:tcW w:w="5511" w:type="dxa"/>
            <w:tcBorders>
              <w:top w:val="dotted" w:sz="2" w:space="0" w:color="4F81BD"/>
              <w:left w:val="dotted" w:sz="2" w:space="0" w:color="4F81BD"/>
              <w:bottom w:val="dotted" w:sz="2" w:space="0" w:color="4F81BD"/>
              <w:right w:val="dotted" w:sz="2" w:space="0" w:color="4F81BD"/>
            </w:tcBorders>
            <w:shd w:val="clear" w:color="auto" w:fill="auto"/>
            <w:hideMark/>
          </w:tcPr>
          <w:p w:rsidR="005D7FB8" w:rsidRPr="00030687" w:rsidRDefault="00A629CA" w:rsidP="00AB0B53">
            <w:pPr>
              <w:rPr>
                <w:rFonts w:ascii="Verdana" w:hAnsi="Verdana" w:cs="Arial"/>
                <w:color w:val="000000"/>
                <w:sz w:val="20"/>
              </w:rPr>
            </w:pPr>
            <w:proofErr w:type="spellStart"/>
            <w:r>
              <w:rPr>
                <w:rFonts w:ascii="Cambria" w:hAnsi="Cambria"/>
                <w:sz w:val="22"/>
                <w:szCs w:val="22"/>
                <w:lang w:val="es-CR"/>
              </w:rPr>
              <w:t>Ecology</w:t>
            </w:r>
            <w:proofErr w:type="spellEnd"/>
            <w:r>
              <w:rPr>
                <w:rFonts w:ascii="Cambria" w:hAnsi="Cambria"/>
                <w:sz w:val="22"/>
                <w:szCs w:val="22"/>
                <w:lang w:val="es-CR"/>
              </w:rPr>
              <w:t xml:space="preserve"> Project International</w:t>
            </w:r>
          </w:p>
        </w:tc>
      </w:tr>
      <w:tr w:rsidR="005D7FB8" w:rsidRPr="00030687" w:rsidTr="009C2A48">
        <w:trPr>
          <w:trHeight w:val="300"/>
        </w:trPr>
        <w:tc>
          <w:tcPr>
            <w:tcW w:w="3510" w:type="dxa"/>
            <w:tcBorders>
              <w:top w:val="dotted" w:sz="2" w:space="0" w:color="4F81BD"/>
              <w:left w:val="dotted" w:sz="2" w:space="0" w:color="4F81BD"/>
              <w:bottom w:val="dotted" w:sz="2" w:space="0" w:color="4F81BD"/>
              <w:right w:val="dotted" w:sz="2" w:space="0" w:color="4F81BD"/>
            </w:tcBorders>
            <w:shd w:val="clear" w:color="auto" w:fill="auto"/>
            <w:hideMark/>
          </w:tcPr>
          <w:p w:rsidR="005D7FB8" w:rsidRPr="00030687" w:rsidRDefault="005D7FB8" w:rsidP="00AB0B53">
            <w:pPr>
              <w:rPr>
                <w:rFonts w:ascii="Verdana" w:hAnsi="Verdana" w:cs="Arial"/>
                <w:color w:val="000000"/>
                <w:sz w:val="20"/>
              </w:rPr>
            </w:pPr>
            <w:r w:rsidRPr="00030687">
              <w:rPr>
                <w:rFonts w:ascii="Verdana" w:hAnsi="Verdana" w:cs="Arial"/>
                <w:color w:val="000000"/>
                <w:sz w:val="20"/>
              </w:rPr>
              <w:t>Persona Contacto:</w:t>
            </w:r>
          </w:p>
        </w:tc>
        <w:tc>
          <w:tcPr>
            <w:tcW w:w="5511" w:type="dxa"/>
            <w:tcBorders>
              <w:top w:val="dotted" w:sz="2" w:space="0" w:color="4F81BD"/>
              <w:left w:val="dotted" w:sz="2" w:space="0" w:color="4F81BD"/>
              <w:bottom w:val="dotted" w:sz="2" w:space="0" w:color="4F81BD"/>
              <w:right w:val="dotted" w:sz="2" w:space="0" w:color="4F81BD"/>
            </w:tcBorders>
            <w:shd w:val="clear" w:color="auto" w:fill="auto"/>
            <w:hideMark/>
          </w:tcPr>
          <w:p w:rsidR="005D7FB8" w:rsidRPr="00030687" w:rsidRDefault="00A629CA" w:rsidP="00AB0B53">
            <w:pPr>
              <w:rPr>
                <w:rFonts w:ascii="Verdana" w:hAnsi="Verdana" w:cs="Arial"/>
                <w:color w:val="000000"/>
                <w:sz w:val="20"/>
                <w:lang w:val="es-CO"/>
              </w:rPr>
            </w:pPr>
            <w:r>
              <w:rPr>
                <w:rFonts w:ascii="Cambria" w:hAnsi="Cambria"/>
                <w:sz w:val="22"/>
                <w:szCs w:val="22"/>
                <w:lang w:val="es-CR"/>
              </w:rPr>
              <w:t>Miguel Fuentes</w:t>
            </w:r>
          </w:p>
        </w:tc>
      </w:tr>
      <w:tr w:rsidR="005D7FB8" w:rsidRPr="00030687" w:rsidTr="009C2A48">
        <w:trPr>
          <w:trHeight w:val="300"/>
        </w:trPr>
        <w:tc>
          <w:tcPr>
            <w:tcW w:w="3510" w:type="dxa"/>
            <w:tcBorders>
              <w:top w:val="dotted" w:sz="2" w:space="0" w:color="4F81BD"/>
              <w:left w:val="dotted" w:sz="2" w:space="0" w:color="4F81BD"/>
              <w:bottom w:val="dotted" w:sz="2" w:space="0" w:color="4F81BD"/>
              <w:right w:val="dotted" w:sz="2" w:space="0" w:color="4F81BD"/>
            </w:tcBorders>
            <w:shd w:val="clear" w:color="auto" w:fill="auto"/>
            <w:hideMark/>
          </w:tcPr>
          <w:p w:rsidR="005D7FB8" w:rsidRPr="00030687" w:rsidRDefault="005D7FB8" w:rsidP="00AB0B53">
            <w:pPr>
              <w:rPr>
                <w:rFonts w:ascii="Verdana" w:hAnsi="Verdana" w:cs="Arial"/>
                <w:color w:val="000000"/>
                <w:sz w:val="20"/>
              </w:rPr>
            </w:pPr>
            <w:proofErr w:type="spellStart"/>
            <w:r w:rsidRPr="00030687">
              <w:rPr>
                <w:rFonts w:ascii="Verdana" w:hAnsi="Verdana" w:cs="Arial"/>
                <w:color w:val="000000"/>
                <w:sz w:val="20"/>
              </w:rPr>
              <w:t>Monto</w:t>
            </w:r>
            <w:proofErr w:type="spellEnd"/>
            <w:r w:rsidRPr="00030687">
              <w:rPr>
                <w:rFonts w:ascii="Verdana" w:hAnsi="Verdana" w:cs="Arial"/>
                <w:color w:val="000000"/>
                <w:sz w:val="20"/>
              </w:rPr>
              <w:t xml:space="preserve"> </w:t>
            </w:r>
            <w:r w:rsidR="00B60CE0">
              <w:rPr>
                <w:rFonts w:ascii="Verdana" w:hAnsi="Verdana" w:cs="Arial"/>
                <w:color w:val="000000"/>
                <w:sz w:val="20"/>
              </w:rPr>
              <w:t xml:space="preserve">de la </w:t>
            </w:r>
            <w:proofErr w:type="spellStart"/>
            <w:r w:rsidR="00B60CE0">
              <w:rPr>
                <w:rFonts w:ascii="Verdana" w:hAnsi="Verdana" w:cs="Arial"/>
                <w:color w:val="000000"/>
                <w:sz w:val="20"/>
              </w:rPr>
              <w:t>donación</w:t>
            </w:r>
            <w:proofErr w:type="spellEnd"/>
            <w:r w:rsidR="00B60CE0">
              <w:rPr>
                <w:rFonts w:ascii="Verdana" w:hAnsi="Verdana" w:cs="Arial"/>
                <w:color w:val="000000"/>
                <w:sz w:val="20"/>
              </w:rPr>
              <w:t xml:space="preserve"> </w:t>
            </w:r>
            <w:r w:rsidRPr="00030687">
              <w:rPr>
                <w:rFonts w:ascii="Verdana" w:hAnsi="Verdana" w:cs="Arial"/>
                <w:color w:val="000000"/>
                <w:sz w:val="20"/>
              </w:rPr>
              <w:t>$:</w:t>
            </w:r>
          </w:p>
        </w:tc>
        <w:tc>
          <w:tcPr>
            <w:tcW w:w="5511" w:type="dxa"/>
            <w:tcBorders>
              <w:top w:val="dotted" w:sz="2" w:space="0" w:color="4F81BD"/>
              <w:left w:val="dotted" w:sz="2" w:space="0" w:color="4F81BD"/>
              <w:bottom w:val="dotted" w:sz="2" w:space="0" w:color="4F81BD"/>
              <w:right w:val="dotted" w:sz="2" w:space="0" w:color="4F81BD"/>
            </w:tcBorders>
            <w:shd w:val="clear" w:color="auto" w:fill="auto"/>
            <w:hideMark/>
          </w:tcPr>
          <w:p w:rsidR="005D7FB8" w:rsidRPr="00030687" w:rsidRDefault="00A629CA" w:rsidP="00AB0B53">
            <w:pPr>
              <w:rPr>
                <w:rFonts w:ascii="Verdana" w:hAnsi="Verdana" w:cs="Arial"/>
                <w:color w:val="000000"/>
                <w:sz w:val="20"/>
              </w:rPr>
            </w:pPr>
            <w:r>
              <w:rPr>
                <w:rFonts w:ascii="Verdana" w:hAnsi="Verdana" w:cs="Arial"/>
                <w:color w:val="000000"/>
                <w:sz w:val="20"/>
              </w:rPr>
              <w:t>$20.000.00</w:t>
            </w:r>
          </w:p>
        </w:tc>
      </w:tr>
      <w:tr w:rsidR="005D7FB8" w:rsidRPr="006A264C" w:rsidTr="009C2A48">
        <w:trPr>
          <w:trHeight w:val="300"/>
        </w:trPr>
        <w:tc>
          <w:tcPr>
            <w:tcW w:w="3510" w:type="dxa"/>
            <w:tcBorders>
              <w:top w:val="dotted" w:sz="2" w:space="0" w:color="4F81BD"/>
              <w:left w:val="dotted" w:sz="2" w:space="0" w:color="4F81BD"/>
              <w:bottom w:val="dotted" w:sz="2" w:space="0" w:color="4F81BD"/>
              <w:right w:val="dotted" w:sz="2" w:space="0" w:color="4F81BD"/>
            </w:tcBorders>
            <w:shd w:val="clear" w:color="auto" w:fill="auto"/>
            <w:hideMark/>
          </w:tcPr>
          <w:p w:rsidR="005D7FB8" w:rsidRPr="00030687" w:rsidRDefault="005D7FB8" w:rsidP="00AB0B53">
            <w:pPr>
              <w:rPr>
                <w:rFonts w:ascii="Verdana" w:hAnsi="Verdana" w:cs="Arial"/>
                <w:color w:val="000000"/>
                <w:sz w:val="20"/>
                <w:lang w:val="es-ES"/>
              </w:rPr>
            </w:pPr>
            <w:r w:rsidRPr="00030687">
              <w:rPr>
                <w:rFonts w:ascii="Verdana" w:hAnsi="Verdana" w:cs="Arial"/>
                <w:color w:val="000000"/>
                <w:sz w:val="20"/>
                <w:lang w:val="es-ES"/>
              </w:rPr>
              <w:t>Fecha de inicio del proyecto</w:t>
            </w:r>
          </w:p>
          <w:p w:rsidR="005D7FB8" w:rsidRPr="00030687" w:rsidRDefault="00B60CE0" w:rsidP="00AB0B53">
            <w:pPr>
              <w:rPr>
                <w:rFonts w:ascii="Verdana" w:hAnsi="Verdana" w:cs="Arial"/>
                <w:color w:val="000000"/>
                <w:sz w:val="20"/>
                <w:lang w:val="es-ES"/>
              </w:rPr>
            </w:pPr>
            <w:r>
              <w:rPr>
                <w:rFonts w:ascii="Verdana" w:hAnsi="Verdana" w:cs="Arial"/>
                <w:color w:val="000000"/>
                <w:sz w:val="20"/>
                <w:lang w:val="es-ES"/>
              </w:rPr>
              <w:t>Informe Nú</w:t>
            </w:r>
            <w:r w:rsidR="005D7FB8" w:rsidRPr="00030687">
              <w:rPr>
                <w:rFonts w:ascii="Verdana" w:hAnsi="Verdana" w:cs="Arial"/>
                <w:color w:val="000000"/>
                <w:sz w:val="20"/>
                <w:lang w:val="es-ES"/>
              </w:rPr>
              <w:t>mero:</w:t>
            </w:r>
          </w:p>
        </w:tc>
        <w:tc>
          <w:tcPr>
            <w:tcW w:w="5511" w:type="dxa"/>
            <w:tcBorders>
              <w:top w:val="dotted" w:sz="2" w:space="0" w:color="4F81BD"/>
              <w:left w:val="dotted" w:sz="2" w:space="0" w:color="4F81BD"/>
              <w:bottom w:val="dotted" w:sz="2" w:space="0" w:color="4F81BD"/>
              <w:right w:val="dotted" w:sz="2" w:space="0" w:color="4F81BD"/>
            </w:tcBorders>
            <w:shd w:val="clear" w:color="auto" w:fill="auto"/>
            <w:hideMark/>
          </w:tcPr>
          <w:p w:rsidR="005D7FB8" w:rsidRDefault="00C308A8" w:rsidP="00AB0B53">
            <w:pPr>
              <w:rPr>
                <w:rFonts w:ascii="Verdana" w:hAnsi="Verdana" w:cs="Arial"/>
                <w:color w:val="000000"/>
                <w:sz w:val="20"/>
                <w:lang w:val="es-CO"/>
              </w:rPr>
            </w:pPr>
            <w:r>
              <w:rPr>
                <w:rFonts w:ascii="Cambria" w:hAnsi="Cambria"/>
                <w:sz w:val="22"/>
                <w:szCs w:val="22"/>
                <w:lang w:val="es-CR"/>
              </w:rPr>
              <w:t>05 de marzo de 2012</w:t>
            </w:r>
          </w:p>
          <w:p w:rsidR="00B60CE0" w:rsidRPr="00030687" w:rsidRDefault="00C308A8" w:rsidP="00AB0B53">
            <w:pPr>
              <w:rPr>
                <w:rFonts w:ascii="Verdana" w:hAnsi="Verdana" w:cs="Arial"/>
                <w:color w:val="000000"/>
                <w:sz w:val="20"/>
                <w:lang w:val="es-CO"/>
              </w:rPr>
            </w:pPr>
            <w:r>
              <w:rPr>
                <w:rFonts w:ascii="Verdana" w:hAnsi="Verdana" w:cs="Arial"/>
                <w:color w:val="000000"/>
                <w:sz w:val="20"/>
                <w:lang w:val="es-CO"/>
              </w:rPr>
              <w:t>Primer Informe de Avance</w:t>
            </w:r>
          </w:p>
        </w:tc>
      </w:tr>
    </w:tbl>
    <w:p w:rsidR="005D7FB8" w:rsidRPr="00030687" w:rsidRDefault="005D7FB8" w:rsidP="005D7FB8">
      <w:pPr>
        <w:rPr>
          <w:rFonts w:ascii="Verdana" w:hAnsi="Verdana" w:cs="Arial"/>
          <w:b/>
          <w:sz w:val="20"/>
          <w:lang w:val="es-CO"/>
        </w:rPr>
      </w:pPr>
    </w:p>
    <w:p w:rsidR="005D7FB8" w:rsidRPr="00030687" w:rsidRDefault="00B60CE0" w:rsidP="005D7FB8">
      <w:pPr>
        <w:rPr>
          <w:rFonts w:ascii="Verdana" w:hAnsi="Verdana" w:cs="Arial"/>
          <w:b/>
          <w:sz w:val="20"/>
          <w:lang w:val="es-CO"/>
        </w:rPr>
      </w:pPr>
      <w:r>
        <w:rPr>
          <w:rFonts w:ascii="Verdana" w:hAnsi="Verdana" w:cs="Arial"/>
          <w:b/>
          <w:sz w:val="20"/>
          <w:lang w:val="es-CO"/>
        </w:rPr>
        <w:t>Progreso</w:t>
      </w:r>
      <w:r w:rsidR="005D7FB8" w:rsidRPr="00030687">
        <w:rPr>
          <w:rFonts w:ascii="Verdana" w:hAnsi="Verdana" w:cs="Arial"/>
          <w:b/>
          <w:sz w:val="20"/>
          <w:lang w:val="es-CO"/>
        </w:rPr>
        <w:t>:</w:t>
      </w:r>
    </w:p>
    <w:p w:rsidR="005D7FB8" w:rsidRPr="00030687" w:rsidRDefault="005D7FB8" w:rsidP="005D7FB8">
      <w:pPr>
        <w:rPr>
          <w:rFonts w:ascii="Verdana" w:hAnsi="Verdana" w:cs="Arial"/>
          <w:sz w:val="20"/>
          <w:lang w:val="es-CO"/>
        </w:rPr>
      </w:pPr>
    </w:p>
    <w:p w:rsidR="005D7FB8" w:rsidRPr="002D1234" w:rsidRDefault="005D7FB8" w:rsidP="005D7FB8">
      <w:pPr>
        <w:pStyle w:val="Prrafodelista"/>
        <w:numPr>
          <w:ilvl w:val="0"/>
          <w:numId w:val="6"/>
        </w:numPr>
        <w:rPr>
          <w:rFonts w:ascii="Verdana" w:hAnsi="Verdana" w:cs="Arial"/>
          <w:b/>
          <w:sz w:val="20"/>
          <w:szCs w:val="20"/>
          <w:lang w:val="es-CO"/>
        </w:rPr>
      </w:pPr>
      <w:r w:rsidRPr="002D1234">
        <w:rPr>
          <w:rFonts w:ascii="Verdana" w:hAnsi="Verdana" w:cs="Arial"/>
          <w:b/>
          <w:sz w:val="20"/>
          <w:szCs w:val="20"/>
          <w:lang w:val="es-CO"/>
        </w:rPr>
        <w:t>Resumen del estado de avance del Proyecto.</w:t>
      </w:r>
    </w:p>
    <w:p w:rsidR="005D7FB8" w:rsidRPr="002D1234" w:rsidRDefault="005D7FB8" w:rsidP="005D7FB8">
      <w:pPr>
        <w:pStyle w:val="Prrafodelista"/>
        <w:rPr>
          <w:rFonts w:ascii="Verdana" w:hAnsi="Verdana" w:cs="Arial"/>
          <w:sz w:val="20"/>
          <w:szCs w:val="20"/>
          <w:lang w:val="es-CO"/>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5D7FB8" w:rsidRPr="002D1234" w:rsidTr="00AB0B53">
        <w:tc>
          <w:tcPr>
            <w:tcW w:w="9558" w:type="dxa"/>
          </w:tcPr>
          <w:p w:rsidR="005D7FB8" w:rsidRPr="002D1234" w:rsidRDefault="005D7FB8" w:rsidP="00AB0B53">
            <w:pPr>
              <w:pStyle w:val="Prrafodelista"/>
              <w:ind w:left="0"/>
              <w:rPr>
                <w:rFonts w:ascii="Verdana" w:hAnsi="Verdana" w:cs="Arial"/>
                <w:sz w:val="20"/>
                <w:szCs w:val="20"/>
                <w:lang w:val="es-CO"/>
              </w:rPr>
            </w:pPr>
          </w:p>
          <w:p w:rsidR="005D7FB8" w:rsidRPr="002D1234" w:rsidRDefault="00A939C1" w:rsidP="00AB0B53">
            <w:pPr>
              <w:pStyle w:val="Prrafodelista"/>
              <w:ind w:left="0"/>
              <w:rPr>
                <w:rFonts w:ascii="Verdana" w:hAnsi="Verdana" w:cs="Arial"/>
                <w:sz w:val="20"/>
                <w:szCs w:val="20"/>
                <w:lang w:val="es-CO"/>
              </w:rPr>
            </w:pPr>
            <w:r>
              <w:rPr>
                <w:rFonts w:ascii="Verdana" w:hAnsi="Verdana" w:cs="Arial"/>
                <w:sz w:val="20"/>
                <w:szCs w:val="20"/>
                <w:lang w:val="es-CO"/>
              </w:rPr>
              <w:t>La organización recibió la declaratoria de “interés público”</w:t>
            </w:r>
            <w:bookmarkStart w:id="0" w:name="_GoBack"/>
            <w:bookmarkEnd w:id="0"/>
            <w:r>
              <w:rPr>
                <w:rFonts w:ascii="Verdana" w:hAnsi="Verdana" w:cs="Arial"/>
                <w:sz w:val="20"/>
                <w:szCs w:val="20"/>
                <w:lang w:val="es-CO"/>
              </w:rPr>
              <w:t xml:space="preserve"> por parte del MEP.  </w:t>
            </w:r>
            <w:r w:rsidR="00652EA9">
              <w:rPr>
                <w:rFonts w:ascii="Verdana" w:hAnsi="Verdana" w:cs="Arial"/>
                <w:sz w:val="20"/>
                <w:szCs w:val="20"/>
                <w:lang w:val="es-CO"/>
              </w:rPr>
              <w:t xml:space="preserve">El proyecto muestra muy buen avance y se ha ido ejecutando de acuerdo a  lo planificado.  La temporada de tortugas es de marzo a julio y se espera la participación de un nuevo grupo a partir de abril del próximo año.  </w:t>
            </w:r>
          </w:p>
          <w:p w:rsidR="005D7FB8" w:rsidRDefault="005D7FB8" w:rsidP="00AB0B53">
            <w:pPr>
              <w:pStyle w:val="Prrafodelista"/>
              <w:ind w:left="0"/>
              <w:rPr>
                <w:rFonts w:ascii="Verdana" w:hAnsi="Verdana" w:cs="Arial"/>
                <w:sz w:val="20"/>
                <w:szCs w:val="20"/>
                <w:lang w:val="es-CO"/>
              </w:rPr>
            </w:pPr>
          </w:p>
          <w:p w:rsidR="00652EA9" w:rsidRDefault="00652EA9" w:rsidP="00AB0B53">
            <w:pPr>
              <w:pStyle w:val="Prrafodelista"/>
              <w:ind w:left="0"/>
              <w:rPr>
                <w:rFonts w:ascii="Verdana" w:hAnsi="Verdana" w:cs="Arial"/>
                <w:sz w:val="20"/>
                <w:szCs w:val="20"/>
                <w:lang w:val="es-CO"/>
              </w:rPr>
            </w:pPr>
            <w:r>
              <w:rPr>
                <w:rFonts w:ascii="Verdana" w:hAnsi="Verdana" w:cs="Arial"/>
                <w:sz w:val="20"/>
                <w:szCs w:val="20"/>
                <w:lang w:val="es-CO"/>
              </w:rPr>
              <w:t>Se esperaría capacitar a 240 personas en vez de 220 como se había planificado, superándose la  meta.</w:t>
            </w:r>
          </w:p>
          <w:p w:rsidR="00652EA9" w:rsidRDefault="00652EA9" w:rsidP="00AB0B53">
            <w:pPr>
              <w:pStyle w:val="Prrafodelista"/>
              <w:ind w:left="0"/>
              <w:rPr>
                <w:rFonts w:ascii="Verdana" w:hAnsi="Verdana" w:cs="Arial"/>
                <w:sz w:val="20"/>
                <w:szCs w:val="20"/>
                <w:lang w:val="es-CO"/>
              </w:rPr>
            </w:pPr>
          </w:p>
          <w:p w:rsidR="00652EA9" w:rsidRDefault="00652EA9" w:rsidP="00AB0B53">
            <w:pPr>
              <w:pStyle w:val="Prrafodelista"/>
              <w:ind w:left="0"/>
              <w:rPr>
                <w:rFonts w:ascii="Verdana" w:hAnsi="Verdana" w:cs="Arial"/>
                <w:sz w:val="20"/>
                <w:szCs w:val="20"/>
                <w:lang w:val="es-CO"/>
              </w:rPr>
            </w:pPr>
            <w:r>
              <w:rPr>
                <w:rFonts w:ascii="Verdana" w:hAnsi="Verdana" w:cs="Arial"/>
                <w:sz w:val="20"/>
                <w:szCs w:val="20"/>
                <w:lang w:val="es-CO"/>
              </w:rPr>
              <w:t>Del 14 al 17 de marzo del próximo año se estaría realizando el entrenamiento de profesores.</w:t>
            </w:r>
          </w:p>
          <w:p w:rsidR="00652EA9" w:rsidRDefault="00652EA9" w:rsidP="00AB0B53">
            <w:pPr>
              <w:pStyle w:val="Prrafodelista"/>
              <w:ind w:left="0"/>
              <w:rPr>
                <w:rFonts w:ascii="Verdana" w:hAnsi="Verdana" w:cs="Arial"/>
                <w:sz w:val="20"/>
                <w:szCs w:val="20"/>
                <w:lang w:val="es-CO"/>
              </w:rPr>
            </w:pPr>
          </w:p>
          <w:p w:rsidR="00652EA9" w:rsidRDefault="00652EA9" w:rsidP="00AB0B53">
            <w:pPr>
              <w:pStyle w:val="Prrafodelista"/>
              <w:ind w:left="0"/>
              <w:rPr>
                <w:rFonts w:ascii="Verdana" w:hAnsi="Verdana" w:cs="Arial"/>
                <w:sz w:val="20"/>
                <w:szCs w:val="20"/>
                <w:lang w:val="es-CO"/>
              </w:rPr>
            </w:pPr>
            <w:r>
              <w:rPr>
                <w:rFonts w:ascii="Verdana" w:hAnsi="Verdana" w:cs="Arial"/>
                <w:sz w:val="20"/>
                <w:szCs w:val="20"/>
                <w:lang w:val="es-CO"/>
              </w:rPr>
              <w:t>Se lleva bien la información del proyecto, únicamente se repasó la valoración  de la contrapartida para mejorar el aporte que se venía realizando porque varias cosas no se contemplaban dentro de ésta.</w:t>
            </w:r>
          </w:p>
          <w:p w:rsidR="00652EA9" w:rsidRDefault="00652EA9" w:rsidP="00AB0B53">
            <w:pPr>
              <w:pStyle w:val="Prrafodelista"/>
              <w:ind w:left="0"/>
              <w:rPr>
                <w:rFonts w:ascii="Verdana" w:hAnsi="Verdana" w:cs="Arial"/>
                <w:sz w:val="20"/>
                <w:szCs w:val="20"/>
                <w:lang w:val="es-CO"/>
              </w:rPr>
            </w:pPr>
          </w:p>
          <w:p w:rsidR="00652EA9" w:rsidRPr="002D1234" w:rsidRDefault="00652EA9" w:rsidP="00AB0B53">
            <w:pPr>
              <w:pStyle w:val="Prrafodelista"/>
              <w:ind w:left="0"/>
              <w:rPr>
                <w:rFonts w:ascii="Verdana" w:hAnsi="Verdana" w:cs="Arial"/>
                <w:sz w:val="20"/>
                <w:szCs w:val="20"/>
                <w:lang w:val="es-CO"/>
              </w:rPr>
            </w:pPr>
            <w:r>
              <w:rPr>
                <w:rFonts w:ascii="Verdana" w:hAnsi="Verdana" w:cs="Arial"/>
                <w:sz w:val="20"/>
                <w:szCs w:val="20"/>
                <w:lang w:val="es-CO"/>
              </w:rPr>
              <w:t>Se repasaron los indicadores y se hizo énfasis en la necesidad de hacer un esfuerzo para medir el impacto del proyecto en el área de biodiversidad.</w:t>
            </w:r>
          </w:p>
          <w:p w:rsidR="00A16989" w:rsidRPr="002D1234" w:rsidRDefault="00A16989" w:rsidP="00AB0B53">
            <w:pPr>
              <w:pStyle w:val="Prrafodelista"/>
              <w:ind w:left="0"/>
              <w:rPr>
                <w:rFonts w:ascii="Verdana" w:hAnsi="Verdana" w:cs="Arial"/>
                <w:sz w:val="20"/>
                <w:szCs w:val="20"/>
                <w:lang w:val="es-CO"/>
              </w:rPr>
            </w:pPr>
          </w:p>
        </w:tc>
      </w:tr>
    </w:tbl>
    <w:p w:rsidR="005D7FB8" w:rsidRPr="002D1234" w:rsidRDefault="005D7FB8" w:rsidP="005D7FB8">
      <w:pPr>
        <w:rPr>
          <w:rFonts w:ascii="Verdana" w:hAnsi="Verdana" w:cs="Arial"/>
          <w:sz w:val="20"/>
          <w:lang w:val="es-CO"/>
        </w:rPr>
      </w:pPr>
    </w:p>
    <w:p w:rsidR="005D7FB8" w:rsidRPr="002D1234" w:rsidRDefault="005D7FB8" w:rsidP="005D7FB8">
      <w:pPr>
        <w:pStyle w:val="Prrafodelista"/>
        <w:numPr>
          <w:ilvl w:val="0"/>
          <w:numId w:val="6"/>
        </w:numPr>
        <w:rPr>
          <w:rFonts w:ascii="Verdana" w:hAnsi="Verdana" w:cs="Arial"/>
          <w:b/>
          <w:sz w:val="20"/>
          <w:szCs w:val="20"/>
          <w:lang w:val="es-CO"/>
        </w:rPr>
      </w:pPr>
      <w:r w:rsidRPr="002D1234">
        <w:rPr>
          <w:rFonts w:ascii="Verdana" w:hAnsi="Verdana" w:cs="Arial"/>
          <w:b/>
          <w:sz w:val="20"/>
          <w:szCs w:val="20"/>
          <w:lang w:val="es-CO"/>
        </w:rPr>
        <w:t xml:space="preserve">Actividades </w:t>
      </w:r>
      <w:r w:rsidR="00A16989" w:rsidRPr="002D1234">
        <w:rPr>
          <w:rFonts w:ascii="Verdana" w:hAnsi="Verdana" w:cs="Arial"/>
          <w:b/>
          <w:sz w:val="20"/>
          <w:szCs w:val="20"/>
          <w:lang w:val="es-CO"/>
        </w:rPr>
        <w:t>planeadas</w:t>
      </w:r>
      <w:r w:rsidR="005812CE" w:rsidRPr="002D1234">
        <w:rPr>
          <w:rFonts w:ascii="Verdana" w:hAnsi="Verdana" w:cs="Arial"/>
          <w:b/>
          <w:sz w:val="20"/>
          <w:szCs w:val="20"/>
          <w:lang w:val="es-CO"/>
        </w:rPr>
        <w:t xml:space="preserve"> y Actividades Ejecutadas</w:t>
      </w:r>
      <w:r w:rsidRPr="002D1234">
        <w:rPr>
          <w:rFonts w:ascii="Verdana" w:hAnsi="Verdana" w:cs="Arial"/>
          <w:b/>
          <w:sz w:val="20"/>
          <w:szCs w:val="20"/>
          <w:lang w:val="es-CO"/>
        </w:rPr>
        <w:t>.</w:t>
      </w:r>
    </w:p>
    <w:p w:rsidR="005812CE" w:rsidRPr="002D1234" w:rsidRDefault="005812CE" w:rsidP="005812CE">
      <w:pPr>
        <w:rPr>
          <w:rFonts w:ascii="Verdana" w:hAnsi="Verdana" w:cs="Arial"/>
          <w:b/>
          <w:sz w:val="20"/>
          <w:lang w:val="es-CO"/>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5812CE" w:rsidRPr="002D1234" w:rsidTr="001F2012">
        <w:tc>
          <w:tcPr>
            <w:tcW w:w="3794" w:type="dxa"/>
          </w:tcPr>
          <w:p w:rsidR="005812CE" w:rsidRPr="002D1234" w:rsidRDefault="005812CE" w:rsidP="00AF7354">
            <w:pPr>
              <w:jc w:val="both"/>
              <w:rPr>
                <w:rFonts w:ascii="Verdana" w:hAnsi="Verdana"/>
                <w:b/>
                <w:sz w:val="20"/>
                <w:lang w:val="es-CR"/>
              </w:rPr>
            </w:pPr>
            <w:r w:rsidRPr="002D1234">
              <w:rPr>
                <w:rFonts w:ascii="Verdana" w:hAnsi="Verdana"/>
                <w:b/>
                <w:sz w:val="20"/>
                <w:lang w:val="es-CR"/>
              </w:rPr>
              <w:t>2. Actividades Planificadas</w:t>
            </w:r>
          </w:p>
          <w:p w:rsidR="005812CE" w:rsidRPr="002D1234" w:rsidRDefault="005812CE"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r w:rsidRPr="002D1234">
              <w:rPr>
                <w:rFonts w:ascii="Verdana" w:hAnsi="Verdana"/>
                <w:sz w:val="20"/>
                <w:lang w:val="es-CR"/>
              </w:rPr>
              <w:t xml:space="preserve">1a. Revisión de currículo del </w:t>
            </w:r>
            <w:r w:rsidRPr="002D1234">
              <w:rPr>
                <w:rFonts w:ascii="Verdana" w:hAnsi="Verdana"/>
                <w:sz w:val="20"/>
                <w:lang w:val="es-CR"/>
              </w:rPr>
              <w:lastRenderedPageBreak/>
              <w:t>programa</w:t>
            </w:r>
          </w:p>
          <w:p w:rsidR="005812CE" w:rsidRPr="002D1234" w:rsidRDefault="005812CE"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r w:rsidRPr="002D1234">
              <w:rPr>
                <w:rFonts w:ascii="Verdana" w:hAnsi="Verdana"/>
                <w:sz w:val="20"/>
                <w:lang w:val="es-CR"/>
              </w:rPr>
              <w:t>1c. Entrenamiento de instructores</w:t>
            </w:r>
          </w:p>
          <w:p w:rsidR="005812CE" w:rsidRPr="002D1234" w:rsidRDefault="005812CE"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r w:rsidRPr="002D1234">
              <w:rPr>
                <w:rFonts w:ascii="Verdana" w:hAnsi="Verdana"/>
                <w:sz w:val="20"/>
                <w:lang w:val="es-CR"/>
              </w:rPr>
              <w:t>1d. Reclutamiento de colegios</w:t>
            </w:r>
          </w:p>
          <w:p w:rsidR="005812CE" w:rsidRPr="002D1234" w:rsidRDefault="005812CE" w:rsidP="00AF7354">
            <w:pPr>
              <w:jc w:val="both"/>
              <w:rPr>
                <w:rFonts w:ascii="Verdana" w:hAnsi="Verdana"/>
                <w:sz w:val="20"/>
                <w:lang w:val="es-CR"/>
              </w:rPr>
            </w:pPr>
          </w:p>
          <w:p w:rsidR="005812CE" w:rsidRDefault="005812CE" w:rsidP="00AF7354">
            <w:pPr>
              <w:jc w:val="both"/>
              <w:rPr>
                <w:rFonts w:ascii="Verdana" w:hAnsi="Verdana"/>
                <w:sz w:val="20"/>
                <w:lang w:val="es-CR"/>
              </w:rPr>
            </w:pPr>
          </w:p>
          <w:p w:rsidR="002D1234" w:rsidRPr="002D1234" w:rsidRDefault="002D1234"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r w:rsidRPr="002D1234">
              <w:rPr>
                <w:rFonts w:ascii="Verdana" w:hAnsi="Verdana"/>
                <w:sz w:val="20"/>
                <w:lang w:val="es-CR"/>
              </w:rPr>
              <w:t>1e.. Visitas previas a colegios</w:t>
            </w:r>
          </w:p>
          <w:p w:rsidR="005812CE" w:rsidRPr="002D1234" w:rsidRDefault="005812CE"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r w:rsidRPr="002D1234">
              <w:rPr>
                <w:rFonts w:ascii="Verdana" w:hAnsi="Verdana"/>
                <w:sz w:val="20"/>
                <w:lang w:val="es-CR"/>
              </w:rPr>
              <w:t>1f. Capacitación a profesores</w:t>
            </w:r>
          </w:p>
          <w:p w:rsidR="005812CE" w:rsidRPr="002D1234" w:rsidRDefault="005812CE"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p>
          <w:p w:rsidR="005812CE" w:rsidRDefault="005812CE" w:rsidP="00AF7354">
            <w:pPr>
              <w:jc w:val="both"/>
              <w:rPr>
                <w:rFonts w:ascii="Verdana" w:hAnsi="Verdana"/>
                <w:sz w:val="20"/>
                <w:lang w:val="es-CR"/>
              </w:rPr>
            </w:pPr>
          </w:p>
          <w:p w:rsidR="002D1234" w:rsidRDefault="002D1234" w:rsidP="00AF7354">
            <w:pPr>
              <w:jc w:val="both"/>
              <w:rPr>
                <w:rFonts w:ascii="Verdana" w:hAnsi="Verdana"/>
                <w:sz w:val="20"/>
                <w:lang w:val="es-CR"/>
              </w:rPr>
            </w:pPr>
          </w:p>
          <w:p w:rsidR="002D1234" w:rsidRPr="002D1234" w:rsidRDefault="002D1234"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r w:rsidRPr="002D1234">
              <w:rPr>
                <w:rFonts w:ascii="Verdana" w:hAnsi="Verdana"/>
                <w:sz w:val="20"/>
                <w:lang w:val="es-CR"/>
              </w:rPr>
              <w:t>1g.. Capacitación a participantes</w:t>
            </w:r>
          </w:p>
          <w:p w:rsidR="005812CE" w:rsidRPr="002D1234" w:rsidRDefault="005812CE"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p>
          <w:p w:rsidR="005812CE" w:rsidRPr="002D1234" w:rsidRDefault="002D1234" w:rsidP="00AF7354">
            <w:pPr>
              <w:jc w:val="both"/>
              <w:rPr>
                <w:rFonts w:ascii="Verdana" w:hAnsi="Verdana"/>
                <w:sz w:val="20"/>
                <w:lang w:val="es-CR"/>
              </w:rPr>
            </w:pPr>
            <w:r>
              <w:rPr>
                <w:rFonts w:ascii="Verdana" w:hAnsi="Verdana"/>
                <w:sz w:val="20"/>
                <w:lang w:val="es-CR"/>
              </w:rPr>
              <w:t>2a.</w:t>
            </w:r>
            <w:r w:rsidR="005812CE" w:rsidRPr="002D1234">
              <w:rPr>
                <w:rFonts w:ascii="Verdana" w:hAnsi="Verdana"/>
                <w:sz w:val="20"/>
                <w:lang w:val="es-CR"/>
              </w:rPr>
              <w:t xml:space="preserve"> Realizar patrullajes nocturnos en conjunto con asistentes de investigación de sitios de conservación.</w:t>
            </w:r>
          </w:p>
          <w:p w:rsidR="005812CE" w:rsidRPr="002D1234" w:rsidRDefault="005812CE"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p>
          <w:p w:rsidR="00807102" w:rsidRDefault="00807102" w:rsidP="00AF7354">
            <w:pPr>
              <w:jc w:val="both"/>
              <w:rPr>
                <w:rFonts w:ascii="Verdana" w:hAnsi="Verdana"/>
                <w:sz w:val="20"/>
                <w:lang w:val="es-CR"/>
              </w:rPr>
            </w:pPr>
          </w:p>
          <w:p w:rsidR="00652EA9" w:rsidRDefault="00652EA9" w:rsidP="00AF7354">
            <w:pPr>
              <w:jc w:val="both"/>
              <w:rPr>
                <w:rFonts w:ascii="Verdana" w:hAnsi="Verdana"/>
                <w:sz w:val="20"/>
                <w:lang w:val="es-CR"/>
              </w:rPr>
            </w:pPr>
          </w:p>
          <w:p w:rsidR="00652EA9" w:rsidRPr="002D1234" w:rsidRDefault="00652EA9"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r w:rsidRPr="002D1234">
              <w:rPr>
                <w:rFonts w:ascii="Verdana" w:hAnsi="Verdana"/>
                <w:sz w:val="20"/>
                <w:lang w:val="es-CR"/>
              </w:rPr>
              <w:t xml:space="preserve">2b. Restauración de </w:t>
            </w:r>
            <w:proofErr w:type="spellStart"/>
            <w:r w:rsidRPr="002D1234">
              <w:rPr>
                <w:rFonts w:ascii="Verdana" w:hAnsi="Verdana"/>
                <w:sz w:val="20"/>
                <w:lang w:val="es-CR"/>
              </w:rPr>
              <w:t>Habitat</w:t>
            </w:r>
            <w:proofErr w:type="spellEnd"/>
            <w:r w:rsidRPr="002D1234">
              <w:rPr>
                <w:rFonts w:ascii="Verdana" w:hAnsi="Verdana"/>
                <w:sz w:val="20"/>
                <w:lang w:val="es-CR"/>
              </w:rPr>
              <w:t>. Limpieza de playa.</w:t>
            </w:r>
          </w:p>
          <w:p w:rsidR="005812CE" w:rsidRPr="002D1234" w:rsidRDefault="005812CE" w:rsidP="00AF7354">
            <w:pPr>
              <w:jc w:val="both"/>
              <w:rPr>
                <w:rFonts w:ascii="Verdana" w:hAnsi="Verdana"/>
                <w:sz w:val="20"/>
                <w:lang w:val="es-CR"/>
              </w:rPr>
            </w:pPr>
          </w:p>
          <w:p w:rsidR="005812CE" w:rsidRDefault="005812CE" w:rsidP="00AF7354">
            <w:pPr>
              <w:jc w:val="both"/>
              <w:rPr>
                <w:rFonts w:ascii="Verdana" w:hAnsi="Verdana"/>
                <w:sz w:val="20"/>
                <w:lang w:val="es-CR"/>
              </w:rPr>
            </w:pPr>
          </w:p>
          <w:p w:rsidR="00652EA9" w:rsidRPr="002D1234" w:rsidRDefault="00652EA9" w:rsidP="00AF7354">
            <w:pPr>
              <w:jc w:val="both"/>
              <w:rPr>
                <w:rFonts w:ascii="Verdana" w:hAnsi="Verdana"/>
                <w:sz w:val="20"/>
                <w:lang w:val="es-CR"/>
              </w:rPr>
            </w:pPr>
          </w:p>
          <w:p w:rsidR="00807102" w:rsidRPr="002D1234" w:rsidRDefault="00807102"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r w:rsidRPr="002D1234">
              <w:rPr>
                <w:rFonts w:ascii="Verdana" w:hAnsi="Verdana"/>
                <w:sz w:val="20"/>
                <w:lang w:val="es-CR"/>
              </w:rPr>
              <w:t>3a.  Desarrollo de portal social</w:t>
            </w:r>
          </w:p>
          <w:p w:rsidR="005812CE" w:rsidRPr="002D1234" w:rsidRDefault="005812CE" w:rsidP="00AF7354">
            <w:pPr>
              <w:jc w:val="both"/>
              <w:rPr>
                <w:rFonts w:ascii="Verdana" w:hAnsi="Verdana"/>
                <w:sz w:val="20"/>
                <w:lang w:val="es-CR"/>
              </w:rPr>
            </w:pPr>
          </w:p>
          <w:p w:rsidR="005812CE" w:rsidRDefault="005812CE" w:rsidP="00AF7354">
            <w:pPr>
              <w:jc w:val="both"/>
              <w:rPr>
                <w:rFonts w:ascii="Verdana" w:hAnsi="Verdana"/>
                <w:sz w:val="20"/>
                <w:lang w:val="es-CR"/>
              </w:rPr>
            </w:pPr>
          </w:p>
          <w:p w:rsidR="00652EA9" w:rsidRPr="002D1234" w:rsidRDefault="00652EA9"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r w:rsidRPr="002D1234">
              <w:rPr>
                <w:rFonts w:ascii="Verdana" w:hAnsi="Verdana"/>
                <w:sz w:val="20"/>
                <w:lang w:val="es-CR"/>
              </w:rPr>
              <w:t>3b1. Visitas posteriores a colegios</w:t>
            </w:r>
          </w:p>
          <w:p w:rsidR="005812CE" w:rsidRPr="002D1234" w:rsidRDefault="005812CE" w:rsidP="00AF7354">
            <w:pPr>
              <w:jc w:val="both"/>
              <w:rPr>
                <w:rFonts w:ascii="Verdana" w:hAnsi="Verdana"/>
                <w:sz w:val="20"/>
                <w:lang w:val="es-CR"/>
              </w:rPr>
            </w:pPr>
            <w:r w:rsidRPr="002D1234">
              <w:rPr>
                <w:rFonts w:ascii="Verdana" w:hAnsi="Verdana"/>
                <w:sz w:val="20"/>
                <w:lang w:val="es-CR"/>
              </w:rPr>
              <w:t>3b2. Atención de consultas por medios digitales</w:t>
            </w:r>
          </w:p>
          <w:p w:rsidR="005812CE" w:rsidRPr="002D1234" w:rsidRDefault="005812CE"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p>
          <w:p w:rsidR="00807102" w:rsidRPr="002D1234" w:rsidRDefault="00807102" w:rsidP="00AF7354">
            <w:pPr>
              <w:jc w:val="both"/>
              <w:rPr>
                <w:rFonts w:ascii="Verdana" w:hAnsi="Verdana"/>
                <w:sz w:val="20"/>
                <w:lang w:val="es-CR"/>
              </w:rPr>
            </w:pPr>
          </w:p>
          <w:p w:rsidR="00807102" w:rsidRPr="002D1234" w:rsidRDefault="00807102" w:rsidP="00AF7354">
            <w:pPr>
              <w:jc w:val="both"/>
              <w:rPr>
                <w:rFonts w:ascii="Verdana" w:hAnsi="Verdana"/>
                <w:sz w:val="20"/>
                <w:lang w:val="es-CR"/>
              </w:rPr>
            </w:pPr>
          </w:p>
          <w:p w:rsidR="00807102" w:rsidRPr="002D1234" w:rsidRDefault="00807102" w:rsidP="00AF7354">
            <w:pPr>
              <w:jc w:val="both"/>
              <w:rPr>
                <w:rFonts w:ascii="Verdana" w:hAnsi="Verdana"/>
                <w:sz w:val="20"/>
                <w:lang w:val="es-CR"/>
              </w:rPr>
            </w:pPr>
          </w:p>
          <w:p w:rsidR="00807102" w:rsidRDefault="00807102" w:rsidP="00AF7354">
            <w:pPr>
              <w:jc w:val="both"/>
              <w:rPr>
                <w:rFonts w:ascii="Verdana" w:hAnsi="Verdana"/>
                <w:sz w:val="20"/>
                <w:lang w:val="es-CR"/>
              </w:rPr>
            </w:pPr>
          </w:p>
          <w:p w:rsidR="00652EA9" w:rsidRDefault="00652EA9" w:rsidP="00AF7354">
            <w:pPr>
              <w:jc w:val="both"/>
              <w:rPr>
                <w:rFonts w:ascii="Verdana" w:hAnsi="Verdana"/>
                <w:sz w:val="20"/>
                <w:lang w:val="es-CR"/>
              </w:rPr>
            </w:pPr>
          </w:p>
          <w:p w:rsidR="00652EA9" w:rsidRDefault="00652EA9"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r w:rsidRPr="002D1234">
              <w:rPr>
                <w:rFonts w:ascii="Verdana" w:hAnsi="Verdana"/>
                <w:sz w:val="20"/>
                <w:lang w:val="es-CR"/>
              </w:rPr>
              <w:t>3b3.  Realización de Actividad Anual de Investigación u Sostenibilidad</w:t>
            </w:r>
          </w:p>
          <w:p w:rsidR="005812CE" w:rsidRPr="002D1234" w:rsidRDefault="005812CE"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p>
          <w:p w:rsidR="005812CE" w:rsidRPr="002D1234" w:rsidRDefault="005812CE" w:rsidP="00807102">
            <w:pPr>
              <w:jc w:val="both"/>
              <w:rPr>
                <w:rFonts w:ascii="Verdana" w:hAnsi="Verdana"/>
                <w:sz w:val="20"/>
                <w:lang w:val="es-CR"/>
              </w:rPr>
            </w:pPr>
          </w:p>
        </w:tc>
        <w:tc>
          <w:tcPr>
            <w:tcW w:w="5245" w:type="dxa"/>
          </w:tcPr>
          <w:p w:rsidR="005812CE" w:rsidRPr="002D1234" w:rsidRDefault="005812CE" w:rsidP="00AF7354">
            <w:pPr>
              <w:jc w:val="both"/>
              <w:rPr>
                <w:rFonts w:ascii="Verdana" w:hAnsi="Verdana"/>
                <w:b/>
                <w:sz w:val="20"/>
                <w:lang w:val="es-CR"/>
              </w:rPr>
            </w:pPr>
            <w:r w:rsidRPr="002D1234">
              <w:rPr>
                <w:rFonts w:ascii="Verdana" w:hAnsi="Verdana"/>
                <w:b/>
                <w:sz w:val="20"/>
                <w:lang w:val="es-CR"/>
              </w:rPr>
              <w:lastRenderedPageBreak/>
              <w:t>3. Actividades realizadas:</w:t>
            </w:r>
          </w:p>
          <w:p w:rsidR="005812CE" w:rsidRPr="002D1234" w:rsidRDefault="005812CE"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r w:rsidRPr="002D1234">
              <w:rPr>
                <w:rFonts w:ascii="Verdana" w:hAnsi="Verdana"/>
                <w:sz w:val="20"/>
                <w:lang w:val="es-CR"/>
              </w:rPr>
              <w:t xml:space="preserve">1a. Se realizó una revisión del currículo durante </w:t>
            </w:r>
            <w:r w:rsidRPr="002D1234">
              <w:rPr>
                <w:rFonts w:ascii="Verdana" w:hAnsi="Verdana"/>
                <w:sz w:val="20"/>
                <w:lang w:val="es-CR"/>
              </w:rPr>
              <w:lastRenderedPageBreak/>
              <w:t>los meses de mayo y junio que desembocó en un nuevo currículo base llamado “Ciencia en Campo” que se utilizará con los grupos del 20</w:t>
            </w:r>
            <w:r w:rsidR="001F2012" w:rsidRPr="002D1234">
              <w:rPr>
                <w:rFonts w:ascii="Verdana" w:hAnsi="Verdana"/>
                <w:sz w:val="20"/>
                <w:lang w:val="es-CR"/>
              </w:rPr>
              <w:t>13.</w:t>
            </w:r>
          </w:p>
          <w:p w:rsidR="005812CE" w:rsidRPr="002D1234" w:rsidRDefault="005812CE"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r w:rsidRPr="002D1234">
              <w:rPr>
                <w:rFonts w:ascii="Verdana" w:hAnsi="Verdana"/>
                <w:sz w:val="20"/>
                <w:lang w:val="es-CR"/>
              </w:rPr>
              <w:t>1c. Se capacitó a 5 instructores y 4 instructores independientes durante la última semana de febrero y primera de marzo 2012.  100% Cumplimiento.</w:t>
            </w:r>
          </w:p>
          <w:p w:rsidR="005812CE" w:rsidRPr="002D1234" w:rsidRDefault="005812CE"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r w:rsidRPr="002D1234">
              <w:rPr>
                <w:rFonts w:ascii="Verdana" w:hAnsi="Verdana"/>
                <w:sz w:val="20"/>
                <w:lang w:val="es-CR"/>
              </w:rPr>
              <w:t xml:space="preserve">1d.  Se reclutó a 11 colegios para su participación en el programa durante los meses de marzo y abril.    </w:t>
            </w:r>
          </w:p>
          <w:p w:rsidR="001F2012" w:rsidRPr="002D1234" w:rsidRDefault="001F2012"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r w:rsidRPr="002D1234">
              <w:rPr>
                <w:rFonts w:ascii="Verdana" w:hAnsi="Verdana"/>
                <w:sz w:val="20"/>
                <w:lang w:val="es-CR"/>
              </w:rPr>
              <w:t>1e.  Se realizaron un total de 11 visitas a los colegios reclutados:</w:t>
            </w:r>
          </w:p>
          <w:p w:rsidR="005812CE" w:rsidRPr="002D1234" w:rsidRDefault="005812CE" w:rsidP="005812CE">
            <w:pPr>
              <w:widowControl/>
              <w:numPr>
                <w:ilvl w:val="0"/>
                <w:numId w:val="8"/>
              </w:numPr>
              <w:snapToGrid/>
              <w:jc w:val="both"/>
              <w:rPr>
                <w:rFonts w:ascii="Verdana" w:hAnsi="Verdana"/>
                <w:sz w:val="20"/>
                <w:lang w:val="es-CR"/>
              </w:rPr>
            </w:pPr>
            <w:r w:rsidRPr="002D1234">
              <w:rPr>
                <w:rFonts w:ascii="Verdana" w:hAnsi="Verdana"/>
                <w:sz w:val="20"/>
                <w:lang w:val="es-CR"/>
              </w:rPr>
              <w:t xml:space="preserve">Liceo de </w:t>
            </w:r>
            <w:proofErr w:type="spellStart"/>
            <w:r w:rsidRPr="002D1234">
              <w:rPr>
                <w:rFonts w:ascii="Verdana" w:hAnsi="Verdana"/>
                <w:sz w:val="20"/>
                <w:lang w:val="es-CR"/>
              </w:rPr>
              <w:t>Pocora</w:t>
            </w:r>
            <w:proofErr w:type="spellEnd"/>
            <w:r w:rsidRPr="002D1234">
              <w:rPr>
                <w:rFonts w:ascii="Verdana" w:hAnsi="Verdana"/>
                <w:sz w:val="20"/>
                <w:lang w:val="es-CR"/>
              </w:rPr>
              <w:t xml:space="preserve"> – 30 de marzo</w:t>
            </w:r>
          </w:p>
          <w:p w:rsidR="005812CE" w:rsidRPr="002D1234" w:rsidRDefault="005812CE" w:rsidP="005812CE">
            <w:pPr>
              <w:widowControl/>
              <w:numPr>
                <w:ilvl w:val="0"/>
                <w:numId w:val="8"/>
              </w:numPr>
              <w:snapToGrid/>
              <w:jc w:val="both"/>
              <w:rPr>
                <w:rFonts w:ascii="Verdana" w:hAnsi="Verdana"/>
                <w:sz w:val="20"/>
                <w:lang w:val="es-CR"/>
              </w:rPr>
            </w:pPr>
            <w:r w:rsidRPr="002D1234">
              <w:rPr>
                <w:rFonts w:ascii="Verdana" w:hAnsi="Verdana"/>
                <w:sz w:val="20"/>
                <w:lang w:val="es-CR"/>
              </w:rPr>
              <w:t xml:space="preserve">CTP de </w:t>
            </w:r>
            <w:proofErr w:type="spellStart"/>
            <w:r w:rsidRPr="002D1234">
              <w:rPr>
                <w:rFonts w:ascii="Verdana" w:hAnsi="Verdana"/>
                <w:sz w:val="20"/>
                <w:lang w:val="es-CR"/>
              </w:rPr>
              <w:t>Siquirres</w:t>
            </w:r>
            <w:proofErr w:type="spellEnd"/>
            <w:r w:rsidRPr="002D1234">
              <w:rPr>
                <w:rFonts w:ascii="Verdana" w:hAnsi="Verdana"/>
                <w:sz w:val="20"/>
                <w:lang w:val="es-CR"/>
              </w:rPr>
              <w:t xml:space="preserve"> – 17 Abril</w:t>
            </w:r>
          </w:p>
          <w:p w:rsidR="005812CE" w:rsidRPr="002D1234" w:rsidRDefault="005812CE" w:rsidP="005812CE">
            <w:pPr>
              <w:widowControl/>
              <w:numPr>
                <w:ilvl w:val="0"/>
                <w:numId w:val="8"/>
              </w:numPr>
              <w:snapToGrid/>
              <w:jc w:val="both"/>
              <w:rPr>
                <w:rFonts w:ascii="Verdana" w:hAnsi="Verdana"/>
                <w:sz w:val="20"/>
                <w:lang w:val="es-CR"/>
              </w:rPr>
            </w:pPr>
            <w:r w:rsidRPr="002D1234">
              <w:rPr>
                <w:rFonts w:ascii="Verdana" w:hAnsi="Verdana"/>
                <w:sz w:val="20"/>
                <w:lang w:val="es-CR"/>
              </w:rPr>
              <w:t>Colegio de Jiménez – 13 de abril</w:t>
            </w:r>
          </w:p>
          <w:p w:rsidR="005812CE" w:rsidRPr="002D1234" w:rsidRDefault="005812CE" w:rsidP="005812CE">
            <w:pPr>
              <w:widowControl/>
              <w:numPr>
                <w:ilvl w:val="0"/>
                <w:numId w:val="8"/>
              </w:numPr>
              <w:snapToGrid/>
              <w:jc w:val="both"/>
              <w:rPr>
                <w:rFonts w:ascii="Verdana" w:hAnsi="Verdana"/>
                <w:sz w:val="20"/>
                <w:lang w:val="es-CR"/>
              </w:rPr>
            </w:pPr>
            <w:r w:rsidRPr="002D1234">
              <w:rPr>
                <w:rFonts w:ascii="Verdana" w:hAnsi="Verdana"/>
                <w:sz w:val="20"/>
                <w:lang w:val="es-CR"/>
              </w:rPr>
              <w:t xml:space="preserve">LEB de </w:t>
            </w:r>
            <w:proofErr w:type="spellStart"/>
            <w:r w:rsidRPr="002D1234">
              <w:rPr>
                <w:rFonts w:ascii="Verdana" w:hAnsi="Verdana"/>
                <w:sz w:val="20"/>
                <w:lang w:val="es-CR"/>
              </w:rPr>
              <w:t>Pococí</w:t>
            </w:r>
            <w:proofErr w:type="spellEnd"/>
            <w:r w:rsidRPr="002D1234">
              <w:rPr>
                <w:rFonts w:ascii="Verdana" w:hAnsi="Verdana"/>
                <w:sz w:val="20"/>
                <w:lang w:val="es-CR"/>
              </w:rPr>
              <w:t xml:space="preserve"> – 20 Abril</w:t>
            </w:r>
          </w:p>
          <w:p w:rsidR="005812CE" w:rsidRPr="002D1234" w:rsidRDefault="005812CE" w:rsidP="005812CE">
            <w:pPr>
              <w:widowControl/>
              <w:numPr>
                <w:ilvl w:val="0"/>
                <w:numId w:val="8"/>
              </w:numPr>
              <w:snapToGrid/>
              <w:jc w:val="both"/>
              <w:rPr>
                <w:rFonts w:ascii="Verdana" w:hAnsi="Verdana"/>
                <w:sz w:val="20"/>
                <w:lang w:val="es-CR"/>
              </w:rPr>
            </w:pPr>
            <w:r w:rsidRPr="002D1234">
              <w:rPr>
                <w:rFonts w:ascii="Verdana" w:hAnsi="Verdana"/>
                <w:sz w:val="20"/>
                <w:lang w:val="es-CR"/>
              </w:rPr>
              <w:t>CTP Guácimo – 16 Abril</w:t>
            </w:r>
          </w:p>
          <w:p w:rsidR="005812CE" w:rsidRPr="002D1234" w:rsidRDefault="005812CE" w:rsidP="005812CE">
            <w:pPr>
              <w:widowControl/>
              <w:numPr>
                <w:ilvl w:val="0"/>
                <w:numId w:val="8"/>
              </w:numPr>
              <w:snapToGrid/>
              <w:jc w:val="both"/>
              <w:rPr>
                <w:rFonts w:ascii="Verdana" w:hAnsi="Verdana"/>
                <w:sz w:val="20"/>
                <w:lang w:val="es-CR"/>
              </w:rPr>
            </w:pPr>
            <w:r w:rsidRPr="002D1234">
              <w:rPr>
                <w:rFonts w:ascii="Verdana" w:hAnsi="Verdana"/>
                <w:sz w:val="20"/>
                <w:lang w:val="es-CR"/>
              </w:rPr>
              <w:t>Liceo La Alegría – 3 Mayo</w:t>
            </w:r>
          </w:p>
          <w:p w:rsidR="005812CE" w:rsidRPr="002D1234" w:rsidRDefault="005812CE" w:rsidP="005812CE">
            <w:pPr>
              <w:widowControl/>
              <w:numPr>
                <w:ilvl w:val="0"/>
                <w:numId w:val="8"/>
              </w:numPr>
              <w:snapToGrid/>
              <w:jc w:val="both"/>
              <w:rPr>
                <w:rFonts w:ascii="Verdana" w:hAnsi="Verdana"/>
                <w:sz w:val="20"/>
                <w:lang w:val="es-CR"/>
              </w:rPr>
            </w:pPr>
            <w:r w:rsidRPr="002D1234">
              <w:rPr>
                <w:rFonts w:ascii="Verdana" w:hAnsi="Verdana"/>
                <w:sz w:val="20"/>
                <w:lang w:val="es-CR"/>
              </w:rPr>
              <w:t>Green Valley – 27 de Abril</w:t>
            </w:r>
          </w:p>
          <w:p w:rsidR="005812CE" w:rsidRPr="002D1234" w:rsidRDefault="005812CE" w:rsidP="005812CE">
            <w:pPr>
              <w:widowControl/>
              <w:numPr>
                <w:ilvl w:val="0"/>
                <w:numId w:val="8"/>
              </w:numPr>
              <w:snapToGrid/>
              <w:jc w:val="both"/>
              <w:rPr>
                <w:rFonts w:ascii="Verdana" w:hAnsi="Verdana"/>
                <w:sz w:val="20"/>
                <w:lang w:val="es-CR"/>
              </w:rPr>
            </w:pPr>
            <w:r w:rsidRPr="002D1234">
              <w:rPr>
                <w:rFonts w:ascii="Verdana" w:hAnsi="Verdana"/>
                <w:sz w:val="20"/>
                <w:lang w:val="es-CR"/>
              </w:rPr>
              <w:t xml:space="preserve">CTP de </w:t>
            </w:r>
            <w:proofErr w:type="spellStart"/>
            <w:r w:rsidRPr="002D1234">
              <w:rPr>
                <w:rFonts w:ascii="Verdana" w:hAnsi="Verdana"/>
                <w:sz w:val="20"/>
                <w:lang w:val="es-CR"/>
              </w:rPr>
              <w:t>Pococí</w:t>
            </w:r>
            <w:proofErr w:type="spellEnd"/>
            <w:r w:rsidRPr="002D1234">
              <w:rPr>
                <w:rFonts w:ascii="Verdana" w:hAnsi="Verdana"/>
                <w:sz w:val="20"/>
                <w:lang w:val="es-CR"/>
              </w:rPr>
              <w:t xml:space="preserve"> – 23 de Abril</w:t>
            </w:r>
          </w:p>
          <w:p w:rsidR="005812CE" w:rsidRPr="002D1234" w:rsidRDefault="005812CE" w:rsidP="005812CE">
            <w:pPr>
              <w:widowControl/>
              <w:numPr>
                <w:ilvl w:val="0"/>
                <w:numId w:val="8"/>
              </w:numPr>
              <w:snapToGrid/>
              <w:jc w:val="both"/>
              <w:rPr>
                <w:rFonts w:ascii="Verdana" w:hAnsi="Verdana"/>
                <w:sz w:val="20"/>
                <w:lang w:val="es-CR"/>
              </w:rPr>
            </w:pPr>
            <w:r w:rsidRPr="002D1234">
              <w:rPr>
                <w:rFonts w:ascii="Verdana" w:hAnsi="Verdana"/>
                <w:sz w:val="20"/>
                <w:lang w:val="es-CR"/>
              </w:rPr>
              <w:t xml:space="preserve">Liceo de </w:t>
            </w:r>
            <w:proofErr w:type="spellStart"/>
            <w:r w:rsidRPr="002D1234">
              <w:rPr>
                <w:rFonts w:ascii="Verdana" w:hAnsi="Verdana"/>
                <w:sz w:val="20"/>
                <w:lang w:val="es-CR"/>
              </w:rPr>
              <w:t>Matina</w:t>
            </w:r>
            <w:proofErr w:type="spellEnd"/>
            <w:r w:rsidRPr="002D1234">
              <w:rPr>
                <w:rFonts w:ascii="Verdana" w:hAnsi="Verdana"/>
                <w:sz w:val="20"/>
                <w:lang w:val="es-CR"/>
              </w:rPr>
              <w:t xml:space="preserve"> – 3 de Mayo</w:t>
            </w:r>
          </w:p>
          <w:p w:rsidR="005812CE" w:rsidRPr="002D1234" w:rsidRDefault="005812CE" w:rsidP="005812CE">
            <w:pPr>
              <w:widowControl/>
              <w:numPr>
                <w:ilvl w:val="0"/>
                <w:numId w:val="8"/>
              </w:numPr>
              <w:snapToGrid/>
              <w:jc w:val="both"/>
              <w:rPr>
                <w:rFonts w:ascii="Verdana" w:hAnsi="Verdana"/>
                <w:sz w:val="20"/>
                <w:lang w:val="es-CR"/>
              </w:rPr>
            </w:pPr>
            <w:r w:rsidRPr="002D1234">
              <w:rPr>
                <w:rFonts w:ascii="Verdana" w:hAnsi="Verdana"/>
                <w:sz w:val="20"/>
                <w:lang w:val="es-CR"/>
              </w:rPr>
              <w:t>Colegio Diurno de Limón – 24 de Abril</w:t>
            </w:r>
          </w:p>
          <w:p w:rsidR="005812CE" w:rsidRPr="002D1234" w:rsidRDefault="005812CE" w:rsidP="005812CE">
            <w:pPr>
              <w:widowControl/>
              <w:numPr>
                <w:ilvl w:val="0"/>
                <w:numId w:val="8"/>
              </w:numPr>
              <w:snapToGrid/>
              <w:jc w:val="both"/>
              <w:rPr>
                <w:rFonts w:ascii="Verdana" w:hAnsi="Verdana"/>
                <w:sz w:val="20"/>
                <w:lang w:val="es-CR"/>
              </w:rPr>
            </w:pPr>
            <w:r w:rsidRPr="002D1234">
              <w:rPr>
                <w:rFonts w:ascii="Verdana" w:hAnsi="Verdana"/>
                <w:sz w:val="20"/>
                <w:lang w:val="es-CR"/>
              </w:rPr>
              <w:t>Liceo Nuevo de Limón – 26 de Julio.</w:t>
            </w:r>
          </w:p>
          <w:p w:rsidR="005812CE" w:rsidRPr="002D1234" w:rsidRDefault="005812CE" w:rsidP="00AF7354">
            <w:pPr>
              <w:jc w:val="both"/>
              <w:rPr>
                <w:rFonts w:ascii="Verdana" w:hAnsi="Verdana"/>
                <w:sz w:val="20"/>
                <w:lang w:val="es-CR"/>
              </w:rPr>
            </w:pPr>
          </w:p>
          <w:p w:rsidR="005812CE" w:rsidRPr="002D1234" w:rsidRDefault="005812CE" w:rsidP="00AF7354">
            <w:pPr>
              <w:jc w:val="both"/>
              <w:rPr>
                <w:rFonts w:ascii="Verdana" w:hAnsi="Verdana"/>
                <w:sz w:val="20"/>
                <w:lang w:val="es-CR"/>
              </w:rPr>
            </w:pPr>
            <w:r w:rsidRPr="002D1234">
              <w:rPr>
                <w:rFonts w:ascii="Verdana" w:hAnsi="Verdana"/>
                <w:sz w:val="20"/>
                <w:lang w:val="es-CR"/>
              </w:rPr>
              <w:t>1f. La capacitación a los profesores se realizó en los días 22 al 25 de marzo del 2012.    Un total de 14 profesores se capacitaron en aspectos de currículo, logística y seguridad. 100% cumplimiento.</w:t>
            </w:r>
          </w:p>
          <w:p w:rsidR="005812CE" w:rsidRPr="002D1234" w:rsidRDefault="005812CE" w:rsidP="00AF7354">
            <w:pPr>
              <w:jc w:val="both"/>
              <w:rPr>
                <w:rFonts w:ascii="Verdana" w:hAnsi="Verdana"/>
                <w:sz w:val="20"/>
                <w:lang w:val="es-CR"/>
              </w:rPr>
            </w:pPr>
          </w:p>
          <w:p w:rsidR="00EB09E1" w:rsidRPr="002D1234" w:rsidRDefault="005812CE" w:rsidP="00EB09E1">
            <w:pPr>
              <w:jc w:val="both"/>
              <w:rPr>
                <w:rFonts w:ascii="Verdana" w:hAnsi="Verdana"/>
                <w:sz w:val="20"/>
                <w:lang w:val="es-CR"/>
              </w:rPr>
            </w:pPr>
            <w:r w:rsidRPr="002D1234">
              <w:rPr>
                <w:rFonts w:ascii="Verdana" w:hAnsi="Verdana"/>
                <w:sz w:val="20"/>
                <w:lang w:val="es-CR"/>
              </w:rPr>
              <w:t xml:space="preserve">1g.  Participaron un total de 197 personas en la capacitación. </w:t>
            </w:r>
          </w:p>
          <w:p w:rsidR="005812CE" w:rsidRPr="002D1234" w:rsidRDefault="005812CE" w:rsidP="00EB09E1">
            <w:pPr>
              <w:jc w:val="both"/>
              <w:rPr>
                <w:rFonts w:ascii="Verdana" w:hAnsi="Verdana"/>
                <w:sz w:val="20"/>
                <w:lang w:val="es-CR"/>
              </w:rPr>
            </w:pPr>
            <w:r w:rsidRPr="002D1234">
              <w:rPr>
                <w:rFonts w:ascii="Verdana" w:hAnsi="Verdana"/>
                <w:sz w:val="20"/>
                <w:lang w:val="es-CR"/>
              </w:rPr>
              <w:t xml:space="preserve">  </w:t>
            </w:r>
          </w:p>
          <w:p w:rsidR="005812CE" w:rsidRPr="002D1234" w:rsidRDefault="005812CE" w:rsidP="00AF7354">
            <w:pPr>
              <w:rPr>
                <w:rFonts w:ascii="Verdana" w:hAnsi="Verdana"/>
                <w:sz w:val="20"/>
                <w:lang w:val="es-CR"/>
              </w:rPr>
            </w:pPr>
            <w:r w:rsidRPr="002D1234">
              <w:rPr>
                <w:rFonts w:ascii="Verdana" w:hAnsi="Verdana"/>
                <w:sz w:val="20"/>
                <w:lang w:val="es-CR"/>
              </w:rPr>
              <w:t xml:space="preserve">2a.  Se realizaron un total de 99 patrullas (3 por colegio por 3 noches) donde los participantes trabajaron junto a los asistentes de investigación de </w:t>
            </w:r>
            <w:proofErr w:type="spellStart"/>
            <w:r w:rsidRPr="002D1234">
              <w:rPr>
                <w:rFonts w:ascii="Verdana" w:hAnsi="Verdana"/>
                <w:sz w:val="20"/>
                <w:lang w:val="es-CR"/>
              </w:rPr>
              <w:t>Pacuare</w:t>
            </w:r>
            <w:proofErr w:type="spellEnd"/>
            <w:r w:rsidRPr="002D1234">
              <w:rPr>
                <w:rFonts w:ascii="Verdana" w:hAnsi="Verdana"/>
                <w:sz w:val="20"/>
                <w:lang w:val="es-CR"/>
              </w:rPr>
              <w:t xml:space="preserve"> </w:t>
            </w:r>
            <w:proofErr w:type="spellStart"/>
            <w:r w:rsidRPr="002D1234">
              <w:rPr>
                <w:rFonts w:ascii="Verdana" w:hAnsi="Verdana"/>
                <w:sz w:val="20"/>
                <w:lang w:val="es-CR"/>
              </w:rPr>
              <w:t>Nature</w:t>
            </w:r>
            <w:proofErr w:type="spellEnd"/>
            <w:r w:rsidRPr="002D1234">
              <w:rPr>
                <w:rFonts w:ascii="Verdana" w:hAnsi="Verdana"/>
                <w:sz w:val="20"/>
                <w:lang w:val="es-CR"/>
              </w:rPr>
              <w:t xml:space="preserve"> Reserve y Sea </w:t>
            </w:r>
            <w:proofErr w:type="spellStart"/>
            <w:r w:rsidRPr="002D1234">
              <w:rPr>
                <w:rFonts w:ascii="Verdana" w:hAnsi="Verdana"/>
                <w:sz w:val="20"/>
                <w:lang w:val="es-CR"/>
              </w:rPr>
              <w:t>Turtle</w:t>
            </w:r>
            <w:proofErr w:type="spellEnd"/>
            <w:r w:rsidRPr="002D1234">
              <w:rPr>
                <w:rFonts w:ascii="Verdana" w:hAnsi="Verdana"/>
                <w:sz w:val="20"/>
                <w:lang w:val="es-CR"/>
              </w:rPr>
              <w:t xml:space="preserve"> </w:t>
            </w:r>
            <w:proofErr w:type="spellStart"/>
            <w:r w:rsidRPr="002D1234">
              <w:rPr>
                <w:rFonts w:ascii="Verdana" w:hAnsi="Verdana"/>
                <w:sz w:val="20"/>
                <w:lang w:val="es-CR"/>
              </w:rPr>
              <w:t>Conservancy</w:t>
            </w:r>
            <w:proofErr w:type="spellEnd"/>
            <w:r w:rsidRPr="002D1234">
              <w:rPr>
                <w:rFonts w:ascii="Verdana" w:hAnsi="Verdana"/>
                <w:sz w:val="20"/>
                <w:lang w:val="es-CR"/>
              </w:rPr>
              <w:t xml:space="preserve"> en la toma de datos biométricos de las tortugas, relocalización de los nidos (de ser necesario) y camuflaje de los nidos y huellas de las tortugas.   100% cumplimiento</w:t>
            </w:r>
          </w:p>
          <w:p w:rsidR="005812CE" w:rsidRPr="002D1234" w:rsidRDefault="005812CE" w:rsidP="00AF7354">
            <w:pPr>
              <w:rPr>
                <w:rFonts w:ascii="Verdana" w:hAnsi="Verdana"/>
                <w:sz w:val="20"/>
                <w:lang w:val="es-CR"/>
              </w:rPr>
            </w:pPr>
          </w:p>
          <w:p w:rsidR="005812CE" w:rsidRPr="002D1234" w:rsidRDefault="005812CE" w:rsidP="00AF7354">
            <w:pPr>
              <w:rPr>
                <w:rFonts w:ascii="Verdana" w:hAnsi="Verdana"/>
                <w:sz w:val="20"/>
                <w:lang w:val="es-CR"/>
              </w:rPr>
            </w:pPr>
            <w:r w:rsidRPr="002D1234">
              <w:rPr>
                <w:rFonts w:ascii="Verdana" w:hAnsi="Verdana"/>
                <w:sz w:val="20"/>
                <w:lang w:val="es-CR"/>
              </w:rPr>
              <w:t xml:space="preserve">Datos preliminares de </w:t>
            </w:r>
            <w:proofErr w:type="spellStart"/>
            <w:r w:rsidRPr="002D1234">
              <w:rPr>
                <w:rFonts w:ascii="Verdana" w:hAnsi="Verdana"/>
                <w:sz w:val="20"/>
                <w:lang w:val="es-CR"/>
              </w:rPr>
              <w:t>Pacuare</w:t>
            </w:r>
            <w:proofErr w:type="spellEnd"/>
            <w:r w:rsidRPr="002D1234">
              <w:rPr>
                <w:rFonts w:ascii="Verdana" w:hAnsi="Verdana"/>
                <w:sz w:val="20"/>
                <w:lang w:val="es-CR"/>
              </w:rPr>
              <w:t xml:space="preserve"> </w:t>
            </w:r>
            <w:proofErr w:type="spellStart"/>
            <w:r w:rsidRPr="002D1234">
              <w:rPr>
                <w:rFonts w:ascii="Verdana" w:hAnsi="Verdana"/>
                <w:sz w:val="20"/>
                <w:lang w:val="es-CR"/>
              </w:rPr>
              <w:t>Nature</w:t>
            </w:r>
            <w:proofErr w:type="spellEnd"/>
            <w:r w:rsidRPr="002D1234">
              <w:rPr>
                <w:rFonts w:ascii="Verdana" w:hAnsi="Verdana"/>
                <w:sz w:val="20"/>
                <w:lang w:val="es-CR"/>
              </w:rPr>
              <w:t xml:space="preserve"> Reserve indican que los </w:t>
            </w:r>
            <w:proofErr w:type="spellStart"/>
            <w:r w:rsidRPr="002D1234">
              <w:rPr>
                <w:rFonts w:ascii="Verdana" w:hAnsi="Verdana"/>
                <w:sz w:val="20"/>
                <w:lang w:val="es-CR"/>
              </w:rPr>
              <w:t>particpantes</w:t>
            </w:r>
            <w:proofErr w:type="spellEnd"/>
            <w:r w:rsidRPr="002D1234">
              <w:rPr>
                <w:rFonts w:ascii="Verdana" w:hAnsi="Verdana"/>
                <w:sz w:val="20"/>
                <w:lang w:val="es-CR"/>
              </w:rPr>
              <w:t xml:space="preserve"> trabajaron con un total de 347 tortugas </w:t>
            </w:r>
            <w:proofErr w:type="spellStart"/>
            <w:r w:rsidRPr="002D1234">
              <w:rPr>
                <w:rFonts w:ascii="Verdana" w:hAnsi="Verdana"/>
                <w:sz w:val="20"/>
                <w:lang w:val="es-CR"/>
              </w:rPr>
              <w:t>Baula</w:t>
            </w:r>
            <w:proofErr w:type="spellEnd"/>
            <w:r w:rsidRPr="002D1234">
              <w:rPr>
                <w:rFonts w:ascii="Verdana" w:hAnsi="Verdana"/>
                <w:sz w:val="20"/>
                <w:lang w:val="es-CR"/>
              </w:rPr>
              <w:t xml:space="preserve"> y Verde.   Queda pendiente el dato de </w:t>
            </w:r>
            <w:proofErr w:type="spellStart"/>
            <w:r w:rsidRPr="002D1234">
              <w:rPr>
                <w:rFonts w:ascii="Verdana" w:hAnsi="Verdana"/>
                <w:sz w:val="20"/>
                <w:lang w:val="es-CR"/>
              </w:rPr>
              <w:t>Tortuguero</w:t>
            </w:r>
            <w:proofErr w:type="spellEnd"/>
            <w:r w:rsidRPr="002D1234">
              <w:rPr>
                <w:rFonts w:ascii="Verdana" w:hAnsi="Verdana"/>
                <w:sz w:val="20"/>
                <w:lang w:val="es-CR"/>
              </w:rPr>
              <w:t>.</w:t>
            </w:r>
          </w:p>
          <w:p w:rsidR="005812CE" w:rsidRPr="002D1234" w:rsidRDefault="005812CE" w:rsidP="00AF7354">
            <w:pPr>
              <w:rPr>
                <w:rFonts w:ascii="Verdana" w:hAnsi="Verdana"/>
                <w:sz w:val="20"/>
                <w:lang w:val="es-CR"/>
              </w:rPr>
            </w:pPr>
          </w:p>
          <w:p w:rsidR="005812CE" w:rsidRPr="002D1234" w:rsidRDefault="005812CE" w:rsidP="00AF7354">
            <w:pPr>
              <w:rPr>
                <w:rFonts w:ascii="Verdana" w:hAnsi="Verdana"/>
                <w:sz w:val="20"/>
                <w:lang w:val="es-CR"/>
              </w:rPr>
            </w:pPr>
            <w:r w:rsidRPr="002D1234">
              <w:rPr>
                <w:rFonts w:ascii="Verdana" w:hAnsi="Verdana"/>
                <w:sz w:val="20"/>
                <w:lang w:val="es-CR"/>
              </w:rPr>
              <w:t xml:space="preserve">2b.  Los participantes dedicaron alrededor de 3 horas en promedio durante su estadía en los sitios de conservación a labores de limpieza de </w:t>
            </w:r>
            <w:r w:rsidRPr="002D1234">
              <w:rPr>
                <w:rFonts w:ascii="Verdana" w:hAnsi="Verdana"/>
                <w:sz w:val="20"/>
                <w:lang w:val="es-CR"/>
              </w:rPr>
              <w:lastRenderedPageBreak/>
              <w:t xml:space="preserve">playa tanto de desechos, como de escombros. 100% Cumplimiento. </w:t>
            </w:r>
          </w:p>
          <w:p w:rsidR="005812CE" w:rsidRPr="002D1234" w:rsidRDefault="005812CE" w:rsidP="00AF7354">
            <w:pPr>
              <w:rPr>
                <w:rFonts w:ascii="Verdana" w:hAnsi="Verdana"/>
                <w:sz w:val="20"/>
                <w:lang w:val="es-CR"/>
              </w:rPr>
            </w:pPr>
          </w:p>
          <w:p w:rsidR="005812CE" w:rsidRPr="002D1234" w:rsidRDefault="005812CE" w:rsidP="00AF7354">
            <w:pPr>
              <w:rPr>
                <w:rFonts w:ascii="Verdana" w:hAnsi="Verdana"/>
                <w:sz w:val="20"/>
                <w:lang w:val="es-CR"/>
              </w:rPr>
            </w:pPr>
            <w:r w:rsidRPr="002D1234">
              <w:rPr>
                <w:rFonts w:ascii="Verdana" w:hAnsi="Verdana"/>
                <w:sz w:val="20"/>
                <w:lang w:val="es-CR"/>
              </w:rPr>
              <w:t>3a.  Debido a retrasos en el diseño y conceptualización del portal el desarrollo del mismo se ha aplazado para finales del año 2012.  0% de cumplimiento hasta la fecha.</w:t>
            </w:r>
          </w:p>
          <w:p w:rsidR="005812CE" w:rsidRPr="002D1234" w:rsidRDefault="005812CE" w:rsidP="00AF7354">
            <w:pPr>
              <w:tabs>
                <w:tab w:val="left" w:pos="3232"/>
              </w:tabs>
              <w:rPr>
                <w:rFonts w:ascii="Verdana" w:hAnsi="Verdana"/>
                <w:sz w:val="20"/>
                <w:lang w:val="es-CR"/>
              </w:rPr>
            </w:pPr>
          </w:p>
          <w:p w:rsidR="005812CE" w:rsidRPr="002D1234" w:rsidRDefault="005812CE" w:rsidP="00AF7354">
            <w:pPr>
              <w:tabs>
                <w:tab w:val="left" w:pos="3232"/>
              </w:tabs>
              <w:rPr>
                <w:rFonts w:ascii="Verdana" w:hAnsi="Verdana"/>
                <w:sz w:val="20"/>
                <w:lang w:val="es-CR"/>
              </w:rPr>
            </w:pPr>
            <w:r w:rsidRPr="002D1234">
              <w:rPr>
                <w:rFonts w:ascii="Verdana" w:hAnsi="Verdana"/>
                <w:sz w:val="20"/>
                <w:lang w:val="es-CR"/>
              </w:rPr>
              <w:t>3b1 y 3b2.  En busca de una mejor utilización del presupuesto disponible se optó por sustituir la visita de instructores pagados a los colegios por la creación de la figura del Asesor Estudiantil EPI.   Se reclutaron 6 estudiantes avanzados en Biología a quienes se capacitó en el programa “Estudiantes como Científicos” de Fundación Omar Dengo y el Ministerio de Ciencia y Tecnología durante el mes de abril.</w:t>
            </w:r>
          </w:p>
          <w:p w:rsidR="005812CE" w:rsidRPr="002D1234" w:rsidRDefault="005812CE" w:rsidP="00AF7354">
            <w:pPr>
              <w:tabs>
                <w:tab w:val="left" w:pos="3232"/>
              </w:tabs>
              <w:rPr>
                <w:rFonts w:ascii="Verdana" w:hAnsi="Verdana"/>
                <w:sz w:val="20"/>
                <w:lang w:val="es-CR"/>
              </w:rPr>
            </w:pPr>
          </w:p>
          <w:p w:rsidR="005812CE" w:rsidRPr="002D1234" w:rsidRDefault="005812CE" w:rsidP="00AF7354">
            <w:pPr>
              <w:tabs>
                <w:tab w:val="left" w:pos="3232"/>
              </w:tabs>
              <w:rPr>
                <w:rFonts w:ascii="Verdana" w:hAnsi="Verdana"/>
                <w:sz w:val="20"/>
                <w:lang w:val="es-CR"/>
              </w:rPr>
            </w:pPr>
            <w:r w:rsidRPr="002D1234">
              <w:rPr>
                <w:rFonts w:ascii="Verdana" w:hAnsi="Verdana"/>
                <w:sz w:val="20"/>
                <w:lang w:val="es-CR"/>
              </w:rPr>
              <w:t>Cada asesor tuvo asignado 3 colegios  a los cuales daba seguimiento con base en la metodología de la Feria Nacional de Ciencia y Tecnología por medios digitales.  100% cumplimiento.</w:t>
            </w:r>
          </w:p>
          <w:p w:rsidR="005812CE" w:rsidRPr="002D1234" w:rsidRDefault="005812CE" w:rsidP="00AF7354">
            <w:pPr>
              <w:tabs>
                <w:tab w:val="left" w:pos="3232"/>
              </w:tabs>
              <w:rPr>
                <w:rFonts w:ascii="Verdana" w:hAnsi="Verdana"/>
                <w:sz w:val="20"/>
                <w:lang w:val="es-CR"/>
              </w:rPr>
            </w:pPr>
          </w:p>
          <w:p w:rsidR="005812CE" w:rsidRPr="002D1234" w:rsidRDefault="005812CE" w:rsidP="00AF7354">
            <w:pPr>
              <w:tabs>
                <w:tab w:val="left" w:pos="3232"/>
              </w:tabs>
              <w:rPr>
                <w:rFonts w:ascii="Verdana" w:hAnsi="Verdana"/>
                <w:sz w:val="20"/>
                <w:lang w:val="es-CR"/>
              </w:rPr>
            </w:pPr>
          </w:p>
          <w:p w:rsidR="005812CE" w:rsidRPr="002D1234" w:rsidRDefault="005812CE" w:rsidP="00AF7354">
            <w:pPr>
              <w:tabs>
                <w:tab w:val="left" w:pos="3232"/>
              </w:tabs>
              <w:rPr>
                <w:rFonts w:ascii="Verdana" w:hAnsi="Verdana"/>
                <w:sz w:val="20"/>
                <w:lang w:val="es-CR"/>
              </w:rPr>
            </w:pPr>
            <w:r w:rsidRPr="002D1234">
              <w:rPr>
                <w:rFonts w:ascii="Verdana" w:hAnsi="Verdana"/>
                <w:sz w:val="20"/>
                <w:lang w:val="es-CR"/>
              </w:rPr>
              <w:t xml:space="preserve">3b3. El 22 de setiembre del 2012 en </w:t>
            </w:r>
            <w:proofErr w:type="spellStart"/>
            <w:r w:rsidRPr="002D1234">
              <w:rPr>
                <w:rFonts w:ascii="Verdana" w:hAnsi="Verdana"/>
                <w:sz w:val="20"/>
                <w:lang w:val="es-CR"/>
              </w:rPr>
              <w:t>INBioParque</w:t>
            </w:r>
            <w:proofErr w:type="spellEnd"/>
            <w:r w:rsidRPr="002D1234">
              <w:rPr>
                <w:rFonts w:ascii="Verdana" w:hAnsi="Verdana"/>
                <w:sz w:val="20"/>
                <w:lang w:val="es-CR"/>
              </w:rPr>
              <w:t xml:space="preserve"> y con la participación de unas 700 personas se realizó </w:t>
            </w:r>
            <w:proofErr w:type="spellStart"/>
            <w:r w:rsidRPr="002D1234">
              <w:rPr>
                <w:rFonts w:ascii="Verdana" w:hAnsi="Verdana"/>
                <w:sz w:val="20"/>
                <w:lang w:val="es-CR"/>
              </w:rPr>
              <w:t>BioCiencia</w:t>
            </w:r>
            <w:proofErr w:type="spellEnd"/>
            <w:r w:rsidRPr="002D1234">
              <w:rPr>
                <w:rFonts w:ascii="Verdana" w:hAnsi="Verdana"/>
                <w:sz w:val="20"/>
                <w:lang w:val="es-CR"/>
              </w:rPr>
              <w:t xml:space="preserve"> 2012 la actividad anual de EPI donde se presentaron 21 proyectos científicos de los participantes.</w:t>
            </w:r>
          </w:p>
          <w:p w:rsidR="005812CE" w:rsidRPr="002D1234" w:rsidRDefault="005812CE" w:rsidP="00AF7354">
            <w:pPr>
              <w:tabs>
                <w:tab w:val="left" w:pos="3232"/>
              </w:tabs>
              <w:rPr>
                <w:rFonts w:ascii="Verdana" w:hAnsi="Verdana"/>
                <w:sz w:val="20"/>
                <w:lang w:val="es-CR"/>
              </w:rPr>
            </w:pPr>
          </w:p>
          <w:p w:rsidR="005812CE" w:rsidRPr="002D1234" w:rsidRDefault="005812CE" w:rsidP="00AF7354">
            <w:pPr>
              <w:tabs>
                <w:tab w:val="left" w:pos="3232"/>
              </w:tabs>
              <w:rPr>
                <w:rFonts w:ascii="Verdana" w:hAnsi="Verdana"/>
                <w:sz w:val="20"/>
                <w:lang w:val="es-CR"/>
              </w:rPr>
            </w:pPr>
            <w:r w:rsidRPr="002D1234">
              <w:rPr>
                <w:rFonts w:ascii="Verdana" w:hAnsi="Verdana"/>
                <w:sz w:val="20"/>
                <w:lang w:val="es-CR"/>
              </w:rPr>
              <w:t>El proyecto contó con el aval del Ministerio de Ciencia y Tecnología quien aportó la mayoría de los jueces y verificó que se cumplieran los más altos estándares de evaluación y calificación de los proyectos.</w:t>
            </w:r>
          </w:p>
          <w:p w:rsidR="005812CE" w:rsidRPr="002D1234" w:rsidRDefault="005812CE" w:rsidP="00AF7354">
            <w:pPr>
              <w:tabs>
                <w:tab w:val="left" w:pos="3232"/>
              </w:tabs>
              <w:rPr>
                <w:rFonts w:ascii="Verdana" w:hAnsi="Verdana"/>
                <w:sz w:val="20"/>
                <w:lang w:val="es-CR"/>
              </w:rPr>
            </w:pPr>
          </w:p>
        </w:tc>
      </w:tr>
    </w:tbl>
    <w:p w:rsidR="005812CE" w:rsidRPr="002D1234" w:rsidRDefault="00652EA9" w:rsidP="005812CE">
      <w:pPr>
        <w:rPr>
          <w:rFonts w:ascii="Verdana" w:hAnsi="Verdana" w:cs="Arial"/>
          <w:b/>
          <w:sz w:val="20"/>
          <w:lang w:val="es-CR"/>
        </w:rPr>
      </w:pPr>
      <w:r>
        <w:rPr>
          <w:rFonts w:ascii="Verdana" w:hAnsi="Verdana" w:cs="Arial"/>
          <w:b/>
          <w:sz w:val="20"/>
          <w:lang w:val="es-CR"/>
        </w:rPr>
        <w:lastRenderedPageBreak/>
        <w:t xml:space="preserve"> </w:t>
      </w:r>
    </w:p>
    <w:p w:rsidR="005812CE" w:rsidRPr="002D1234" w:rsidRDefault="005812CE" w:rsidP="005812CE">
      <w:pPr>
        <w:rPr>
          <w:rFonts w:ascii="Verdana" w:hAnsi="Verdana" w:cs="Arial"/>
          <w:b/>
          <w:sz w:val="20"/>
          <w:lang w:val="es-CO"/>
        </w:rPr>
      </w:pPr>
    </w:p>
    <w:p w:rsidR="005D7FB8" w:rsidRPr="002D1234" w:rsidRDefault="005D7FB8" w:rsidP="005D7FB8">
      <w:pPr>
        <w:pStyle w:val="Prrafodelista"/>
        <w:numPr>
          <w:ilvl w:val="0"/>
          <w:numId w:val="6"/>
        </w:numPr>
        <w:rPr>
          <w:rFonts w:ascii="Verdana" w:hAnsi="Verdana" w:cs="Arial"/>
          <w:b/>
          <w:sz w:val="20"/>
          <w:szCs w:val="20"/>
          <w:lang w:val="es-CO"/>
        </w:rPr>
      </w:pPr>
      <w:r w:rsidRPr="002D1234">
        <w:rPr>
          <w:rFonts w:ascii="Verdana" w:hAnsi="Verdana" w:cs="Arial"/>
          <w:b/>
          <w:sz w:val="20"/>
          <w:szCs w:val="20"/>
          <w:lang w:val="es-CO"/>
        </w:rPr>
        <w:t>Actividades p</w:t>
      </w:r>
      <w:r w:rsidR="00A16989" w:rsidRPr="002D1234">
        <w:rPr>
          <w:rFonts w:ascii="Verdana" w:hAnsi="Verdana" w:cs="Arial"/>
          <w:b/>
          <w:sz w:val="20"/>
          <w:szCs w:val="20"/>
          <w:lang w:val="es-CO"/>
        </w:rPr>
        <w:t>or concluir en próximo periodo</w:t>
      </w:r>
      <w:r w:rsidRPr="002D1234">
        <w:rPr>
          <w:rFonts w:ascii="Verdana" w:hAnsi="Verdana" w:cs="Arial"/>
          <w:b/>
          <w:sz w:val="20"/>
          <w:szCs w:val="20"/>
          <w:lang w:val="es-CO"/>
        </w:rPr>
        <w:t xml:space="preserve">. </w:t>
      </w:r>
    </w:p>
    <w:p w:rsidR="00A16989" w:rsidRPr="002D1234" w:rsidRDefault="00A16989" w:rsidP="00A16989">
      <w:pPr>
        <w:pStyle w:val="Prrafodelista"/>
        <w:ind w:left="540"/>
        <w:rPr>
          <w:rFonts w:ascii="Verdana" w:hAnsi="Verdana" w:cs="Arial"/>
          <w:b/>
          <w:sz w:val="20"/>
          <w:szCs w:val="20"/>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5D7FB8" w:rsidRPr="002D1234" w:rsidTr="00AB0B53">
        <w:tc>
          <w:tcPr>
            <w:tcW w:w="9576" w:type="dxa"/>
          </w:tcPr>
          <w:p w:rsidR="005D7FB8" w:rsidRPr="002D1234" w:rsidRDefault="005D7FB8" w:rsidP="00AB0B53">
            <w:pPr>
              <w:rPr>
                <w:rFonts w:ascii="Verdana" w:hAnsi="Verdana" w:cs="Arial"/>
                <w:sz w:val="20"/>
                <w:lang w:val="es-CR"/>
              </w:rPr>
            </w:pPr>
          </w:p>
          <w:p w:rsidR="00807102" w:rsidRPr="002D1234" w:rsidRDefault="00807102" w:rsidP="00807102">
            <w:pPr>
              <w:jc w:val="both"/>
              <w:rPr>
                <w:rFonts w:ascii="Verdana" w:hAnsi="Verdana"/>
                <w:sz w:val="20"/>
                <w:lang w:val="es-CR"/>
              </w:rPr>
            </w:pPr>
            <w:r w:rsidRPr="002D1234">
              <w:rPr>
                <w:rFonts w:ascii="Verdana" w:hAnsi="Verdana"/>
                <w:sz w:val="20"/>
                <w:lang w:val="es-CR"/>
              </w:rPr>
              <w:t>3c1.  Identificar estudiantes con alta sensibilización y actitudes de liderazgo: En proceso según cronograma de actividades aprobado</w:t>
            </w:r>
          </w:p>
          <w:p w:rsidR="00807102" w:rsidRPr="002D1234" w:rsidRDefault="00807102" w:rsidP="00807102">
            <w:pPr>
              <w:jc w:val="both"/>
              <w:rPr>
                <w:rFonts w:ascii="Verdana" w:hAnsi="Verdana"/>
                <w:sz w:val="20"/>
                <w:lang w:val="es-CR"/>
              </w:rPr>
            </w:pPr>
          </w:p>
          <w:p w:rsidR="00807102" w:rsidRPr="002D1234" w:rsidRDefault="00807102" w:rsidP="00807102">
            <w:pPr>
              <w:tabs>
                <w:tab w:val="left" w:pos="3232"/>
              </w:tabs>
              <w:rPr>
                <w:rFonts w:ascii="Verdana" w:hAnsi="Verdana"/>
                <w:sz w:val="20"/>
                <w:lang w:val="es-CR"/>
              </w:rPr>
            </w:pPr>
            <w:r w:rsidRPr="002D1234">
              <w:rPr>
                <w:rFonts w:ascii="Verdana" w:hAnsi="Verdana"/>
                <w:sz w:val="20"/>
                <w:lang w:val="es-CR"/>
              </w:rPr>
              <w:t>3c2. Reclutar los jóvenes seleccionados: En proceso según cronograma de actividades aprobado</w:t>
            </w:r>
          </w:p>
          <w:p w:rsidR="00807102" w:rsidRPr="002D1234" w:rsidRDefault="00807102" w:rsidP="00807102">
            <w:pPr>
              <w:jc w:val="both"/>
              <w:rPr>
                <w:rFonts w:ascii="Verdana" w:hAnsi="Verdana"/>
                <w:sz w:val="20"/>
                <w:lang w:val="es-CR"/>
              </w:rPr>
            </w:pPr>
          </w:p>
          <w:p w:rsidR="00807102" w:rsidRPr="002D1234" w:rsidRDefault="00807102" w:rsidP="00807102">
            <w:pPr>
              <w:tabs>
                <w:tab w:val="left" w:pos="3232"/>
              </w:tabs>
              <w:rPr>
                <w:rFonts w:ascii="Verdana" w:hAnsi="Verdana"/>
                <w:sz w:val="20"/>
                <w:lang w:val="es-CR"/>
              </w:rPr>
            </w:pPr>
            <w:r w:rsidRPr="002D1234">
              <w:rPr>
                <w:rFonts w:ascii="Verdana" w:hAnsi="Verdana"/>
                <w:sz w:val="20"/>
                <w:lang w:val="es-CR"/>
              </w:rPr>
              <w:t>3c3. Realizar actividades de liderazgo (talleres prácticos, proyectos comunitarios): Programados para iniciar en noviembre 2012 según cronograma aprobado.</w:t>
            </w:r>
          </w:p>
          <w:p w:rsidR="00807102" w:rsidRPr="002D1234" w:rsidRDefault="00807102" w:rsidP="00807102">
            <w:pPr>
              <w:jc w:val="both"/>
              <w:rPr>
                <w:rFonts w:ascii="Verdana" w:hAnsi="Verdana"/>
                <w:sz w:val="20"/>
                <w:lang w:val="es-CR"/>
              </w:rPr>
            </w:pPr>
          </w:p>
          <w:p w:rsidR="00807102" w:rsidRPr="002D1234" w:rsidRDefault="00807102" w:rsidP="00807102">
            <w:pPr>
              <w:tabs>
                <w:tab w:val="left" w:pos="3232"/>
              </w:tabs>
              <w:rPr>
                <w:rFonts w:ascii="Verdana" w:hAnsi="Verdana"/>
                <w:sz w:val="20"/>
                <w:lang w:val="es-CR"/>
              </w:rPr>
            </w:pPr>
            <w:r w:rsidRPr="002D1234">
              <w:rPr>
                <w:rFonts w:ascii="Verdana" w:hAnsi="Verdana"/>
                <w:sz w:val="20"/>
                <w:lang w:val="es-CR"/>
              </w:rPr>
              <w:t xml:space="preserve">1b.  Revisión de instrumento de medición de la “sensibilización” de los participantes: Instrumento de medición revisado y aprobado en marzo de 2012.  Se implementó de </w:t>
            </w:r>
            <w:r w:rsidRPr="002D1234">
              <w:rPr>
                <w:rFonts w:ascii="Verdana" w:hAnsi="Verdana"/>
                <w:sz w:val="20"/>
                <w:lang w:val="es-CR"/>
              </w:rPr>
              <w:lastRenderedPageBreak/>
              <w:t>manera piloto en el 2012 para 3 colegios.  Se realizó una prueba ex ante y ex post.   La tabulación de los datos de las mismas se encuentra en proceso.</w:t>
            </w:r>
          </w:p>
          <w:p w:rsidR="00807102" w:rsidRPr="002D1234" w:rsidRDefault="00807102" w:rsidP="00807102">
            <w:pPr>
              <w:jc w:val="both"/>
              <w:rPr>
                <w:rFonts w:ascii="Verdana" w:hAnsi="Verdana"/>
                <w:sz w:val="20"/>
                <w:lang w:val="es-CR"/>
              </w:rPr>
            </w:pPr>
          </w:p>
          <w:p w:rsidR="00807102" w:rsidRPr="002D1234" w:rsidRDefault="00807102" w:rsidP="00807102">
            <w:pPr>
              <w:jc w:val="both"/>
              <w:rPr>
                <w:rFonts w:ascii="Verdana" w:hAnsi="Verdana"/>
                <w:sz w:val="20"/>
                <w:lang w:val="es-CR"/>
              </w:rPr>
            </w:pPr>
            <w:r w:rsidRPr="002D1234">
              <w:rPr>
                <w:rFonts w:ascii="Verdana" w:hAnsi="Verdana"/>
                <w:sz w:val="20"/>
                <w:lang w:val="es-CR"/>
              </w:rPr>
              <w:t>1h. Evaluación de la capacitación: Cada uno de los participantes realizó una evaluación de la capacitación en términos de efectividad, pertinencia y logística.   La tabulación de los datos se encuentra en proceso</w:t>
            </w:r>
          </w:p>
          <w:p w:rsidR="00807102" w:rsidRPr="002D1234" w:rsidRDefault="00807102" w:rsidP="00807102">
            <w:pPr>
              <w:jc w:val="both"/>
              <w:rPr>
                <w:rFonts w:ascii="Verdana" w:hAnsi="Verdana"/>
                <w:sz w:val="20"/>
                <w:lang w:val="es-CR"/>
              </w:rPr>
            </w:pPr>
          </w:p>
          <w:p w:rsidR="00B60CE0" w:rsidRPr="002D1234" w:rsidRDefault="00807102" w:rsidP="00807102">
            <w:pPr>
              <w:jc w:val="both"/>
              <w:rPr>
                <w:rFonts w:ascii="Verdana" w:hAnsi="Verdana"/>
                <w:sz w:val="20"/>
                <w:lang w:val="es-CR"/>
              </w:rPr>
            </w:pPr>
            <w:r w:rsidRPr="002D1234">
              <w:rPr>
                <w:rFonts w:ascii="Verdana" w:hAnsi="Verdana"/>
                <w:sz w:val="20"/>
                <w:lang w:val="es-CR"/>
              </w:rPr>
              <w:t>3c4. Evaluar las actividades de empoderamiento: No iniciada de acuerdo a cronograma aprobado.</w:t>
            </w:r>
          </w:p>
          <w:p w:rsidR="005D7FB8" w:rsidRPr="002D1234" w:rsidRDefault="005D7FB8" w:rsidP="00AB0B53">
            <w:pPr>
              <w:rPr>
                <w:rFonts w:ascii="Verdana" w:hAnsi="Verdana" w:cs="Arial"/>
                <w:sz w:val="20"/>
                <w:lang w:val="es-CR"/>
              </w:rPr>
            </w:pPr>
          </w:p>
        </w:tc>
      </w:tr>
    </w:tbl>
    <w:p w:rsidR="005D7FB8" w:rsidRPr="002D1234" w:rsidRDefault="005D7FB8" w:rsidP="005D7FB8">
      <w:pPr>
        <w:rPr>
          <w:rFonts w:ascii="Verdana" w:hAnsi="Verdana" w:cs="Arial"/>
          <w:sz w:val="20"/>
          <w:lang w:val="es-CR"/>
        </w:rPr>
      </w:pPr>
    </w:p>
    <w:p w:rsidR="005D7FB8" w:rsidRPr="002D1234" w:rsidRDefault="005D7FB8" w:rsidP="005D7FB8">
      <w:pPr>
        <w:pStyle w:val="Prrafodelista"/>
        <w:numPr>
          <w:ilvl w:val="0"/>
          <w:numId w:val="6"/>
        </w:numPr>
        <w:rPr>
          <w:rFonts w:ascii="Verdana" w:hAnsi="Verdana" w:cs="Arial"/>
          <w:b/>
          <w:sz w:val="20"/>
          <w:szCs w:val="20"/>
          <w:lang w:val="es-CO"/>
        </w:rPr>
      </w:pPr>
      <w:r w:rsidRPr="002D1234">
        <w:rPr>
          <w:rFonts w:ascii="Verdana" w:hAnsi="Verdana" w:cs="Arial"/>
          <w:b/>
          <w:sz w:val="20"/>
          <w:szCs w:val="20"/>
          <w:lang w:val="es-CO"/>
        </w:rPr>
        <w:t xml:space="preserve"> Experiencias, lecciones aprendidas y dificultades en este periodo</w:t>
      </w:r>
    </w:p>
    <w:p w:rsidR="00A16989" w:rsidRPr="002D1234" w:rsidRDefault="00A16989" w:rsidP="00A16989">
      <w:pPr>
        <w:pStyle w:val="Prrafodelista"/>
        <w:ind w:left="540"/>
        <w:rPr>
          <w:rFonts w:ascii="Verdana" w:hAnsi="Verdana" w:cs="Arial"/>
          <w:sz w:val="20"/>
          <w:szCs w:val="20"/>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5D7FB8" w:rsidRPr="002D1234" w:rsidTr="00AB0B53">
        <w:tc>
          <w:tcPr>
            <w:tcW w:w="9576" w:type="dxa"/>
          </w:tcPr>
          <w:p w:rsidR="005D7FB8" w:rsidRPr="002D1234" w:rsidRDefault="005D7FB8" w:rsidP="00AB0B53">
            <w:pPr>
              <w:rPr>
                <w:rFonts w:ascii="Verdana" w:hAnsi="Verdana" w:cs="Arial"/>
                <w:sz w:val="20"/>
                <w:lang w:val="es-CR"/>
              </w:rPr>
            </w:pPr>
          </w:p>
          <w:p w:rsidR="005812CE" w:rsidRPr="002D1234" w:rsidRDefault="005812CE" w:rsidP="005812CE">
            <w:pPr>
              <w:jc w:val="both"/>
              <w:rPr>
                <w:rFonts w:ascii="Verdana" w:hAnsi="Verdana"/>
                <w:sz w:val="20"/>
                <w:lang w:val="es-CR"/>
              </w:rPr>
            </w:pPr>
            <w:r w:rsidRPr="002D1234">
              <w:rPr>
                <w:rFonts w:ascii="Verdana" w:hAnsi="Verdana"/>
                <w:sz w:val="20"/>
                <w:lang w:val="es-CR"/>
              </w:rPr>
              <w:t xml:space="preserve">La mayor dificultad encontrada en el proceso de logística consistió en el transporte de los estudiantes hasta Sea </w:t>
            </w:r>
            <w:proofErr w:type="spellStart"/>
            <w:r w:rsidRPr="002D1234">
              <w:rPr>
                <w:rFonts w:ascii="Verdana" w:hAnsi="Verdana"/>
                <w:sz w:val="20"/>
                <w:lang w:val="es-CR"/>
              </w:rPr>
              <w:t>Turtle</w:t>
            </w:r>
            <w:proofErr w:type="spellEnd"/>
            <w:r w:rsidRPr="002D1234">
              <w:rPr>
                <w:rFonts w:ascii="Verdana" w:hAnsi="Verdana"/>
                <w:sz w:val="20"/>
                <w:lang w:val="es-CR"/>
              </w:rPr>
              <w:t xml:space="preserve"> </w:t>
            </w:r>
            <w:proofErr w:type="spellStart"/>
            <w:r w:rsidRPr="002D1234">
              <w:rPr>
                <w:rFonts w:ascii="Verdana" w:hAnsi="Verdana"/>
                <w:sz w:val="20"/>
                <w:lang w:val="es-CR"/>
              </w:rPr>
              <w:t>Conservancy</w:t>
            </w:r>
            <w:proofErr w:type="spellEnd"/>
            <w:r w:rsidRPr="002D1234">
              <w:rPr>
                <w:rFonts w:ascii="Verdana" w:hAnsi="Verdana"/>
                <w:sz w:val="20"/>
                <w:lang w:val="es-CR"/>
              </w:rPr>
              <w:t xml:space="preserve"> en </w:t>
            </w:r>
            <w:proofErr w:type="spellStart"/>
            <w:r w:rsidRPr="002D1234">
              <w:rPr>
                <w:rFonts w:ascii="Verdana" w:hAnsi="Verdana"/>
                <w:sz w:val="20"/>
                <w:lang w:val="es-CR"/>
              </w:rPr>
              <w:t>Tortuguero</w:t>
            </w:r>
            <w:proofErr w:type="spellEnd"/>
            <w:r w:rsidRPr="002D1234">
              <w:rPr>
                <w:rFonts w:ascii="Verdana" w:hAnsi="Verdana"/>
                <w:sz w:val="20"/>
                <w:lang w:val="es-CR"/>
              </w:rPr>
              <w:t xml:space="preserve">.   El proyecto no cuenta con una partida para transporte y la dificultad para conseguir los fondos para cubrir este rubro hizo que uno de los dos grupos que estaban reclutados para participar (CTP </w:t>
            </w:r>
            <w:proofErr w:type="spellStart"/>
            <w:r w:rsidRPr="002D1234">
              <w:rPr>
                <w:rFonts w:ascii="Verdana" w:hAnsi="Verdana"/>
                <w:sz w:val="20"/>
                <w:lang w:val="es-CR"/>
              </w:rPr>
              <w:t>Siquirres</w:t>
            </w:r>
            <w:proofErr w:type="spellEnd"/>
            <w:r w:rsidRPr="002D1234">
              <w:rPr>
                <w:rFonts w:ascii="Verdana" w:hAnsi="Verdana"/>
                <w:sz w:val="20"/>
                <w:lang w:val="es-CR"/>
              </w:rPr>
              <w:t>) tuviera que cancelar su participación al último momento.</w:t>
            </w:r>
          </w:p>
          <w:p w:rsidR="005812CE" w:rsidRPr="002D1234" w:rsidRDefault="005812CE" w:rsidP="005812CE">
            <w:pPr>
              <w:jc w:val="both"/>
              <w:rPr>
                <w:rFonts w:ascii="Verdana" w:hAnsi="Verdana"/>
                <w:sz w:val="20"/>
              </w:rPr>
            </w:pPr>
            <w:r w:rsidRPr="002D1234">
              <w:rPr>
                <w:rFonts w:ascii="Verdana" w:hAnsi="Verdana"/>
                <w:sz w:val="20"/>
                <w:lang w:val="es-CR"/>
              </w:rPr>
              <w:br/>
              <w:t xml:space="preserve">Como se puede apreciar en </w:t>
            </w:r>
            <w:proofErr w:type="gramStart"/>
            <w:r w:rsidRPr="002D1234">
              <w:rPr>
                <w:rFonts w:ascii="Verdana" w:hAnsi="Verdana"/>
                <w:sz w:val="20"/>
                <w:lang w:val="es-CR"/>
              </w:rPr>
              <w:t>el cuadro de abajo (resultados e indicadores</w:t>
            </w:r>
            <w:proofErr w:type="gramEnd"/>
            <w:r w:rsidRPr="002D1234">
              <w:rPr>
                <w:rFonts w:ascii="Verdana" w:hAnsi="Verdana"/>
                <w:sz w:val="20"/>
                <w:lang w:val="es-CR"/>
              </w:rPr>
              <w:t xml:space="preserve">) nosotros esperábamos una participación de al menos 106 jóvenes participantes (60% del total) en el proceso de feria científica y alrededor de 35 o 40 proyectos.  Sin embargo en realidad tuvimos 66 participantes (26% del total) y solamente 21 proyectos.   </w:t>
            </w:r>
            <w:proofErr w:type="spellStart"/>
            <w:r w:rsidRPr="002D1234">
              <w:rPr>
                <w:rFonts w:ascii="Verdana" w:hAnsi="Verdana"/>
                <w:sz w:val="20"/>
              </w:rPr>
              <w:t>Esta</w:t>
            </w:r>
            <w:proofErr w:type="spellEnd"/>
            <w:r w:rsidRPr="002D1234">
              <w:rPr>
                <w:rFonts w:ascii="Verdana" w:hAnsi="Verdana"/>
                <w:sz w:val="20"/>
              </w:rPr>
              <w:t xml:space="preserve"> </w:t>
            </w:r>
            <w:proofErr w:type="spellStart"/>
            <w:r w:rsidRPr="002D1234">
              <w:rPr>
                <w:rFonts w:ascii="Verdana" w:hAnsi="Verdana"/>
                <w:sz w:val="20"/>
              </w:rPr>
              <w:t>situación</w:t>
            </w:r>
            <w:proofErr w:type="spellEnd"/>
            <w:r w:rsidRPr="002D1234">
              <w:rPr>
                <w:rFonts w:ascii="Verdana" w:hAnsi="Verdana"/>
                <w:sz w:val="20"/>
              </w:rPr>
              <w:t xml:space="preserve"> </w:t>
            </w:r>
            <w:proofErr w:type="spellStart"/>
            <w:r w:rsidRPr="002D1234">
              <w:rPr>
                <w:rFonts w:ascii="Verdana" w:hAnsi="Verdana"/>
                <w:sz w:val="20"/>
              </w:rPr>
              <w:t>tiene</w:t>
            </w:r>
            <w:proofErr w:type="spellEnd"/>
            <w:r w:rsidRPr="002D1234">
              <w:rPr>
                <w:rFonts w:ascii="Verdana" w:hAnsi="Verdana"/>
                <w:sz w:val="20"/>
              </w:rPr>
              <w:t xml:space="preserve"> </w:t>
            </w:r>
            <w:proofErr w:type="spellStart"/>
            <w:r w:rsidRPr="002D1234">
              <w:rPr>
                <w:rFonts w:ascii="Verdana" w:hAnsi="Verdana"/>
                <w:sz w:val="20"/>
              </w:rPr>
              <w:t>múltiples</w:t>
            </w:r>
            <w:proofErr w:type="spellEnd"/>
            <w:r w:rsidRPr="002D1234">
              <w:rPr>
                <w:rFonts w:ascii="Verdana" w:hAnsi="Verdana"/>
                <w:sz w:val="20"/>
              </w:rPr>
              <w:t xml:space="preserve"> </w:t>
            </w:r>
            <w:proofErr w:type="spellStart"/>
            <w:r w:rsidRPr="002D1234">
              <w:rPr>
                <w:rFonts w:ascii="Verdana" w:hAnsi="Verdana"/>
                <w:sz w:val="20"/>
              </w:rPr>
              <w:t>explicaciones</w:t>
            </w:r>
            <w:proofErr w:type="spellEnd"/>
            <w:r w:rsidRPr="002D1234">
              <w:rPr>
                <w:rFonts w:ascii="Verdana" w:hAnsi="Verdana"/>
                <w:sz w:val="20"/>
              </w:rPr>
              <w:t>:</w:t>
            </w:r>
          </w:p>
          <w:p w:rsidR="005812CE" w:rsidRPr="002D1234" w:rsidRDefault="005812CE" w:rsidP="005812CE">
            <w:pPr>
              <w:widowControl/>
              <w:numPr>
                <w:ilvl w:val="0"/>
                <w:numId w:val="9"/>
              </w:numPr>
              <w:snapToGrid/>
              <w:jc w:val="both"/>
              <w:rPr>
                <w:rFonts w:ascii="Verdana" w:hAnsi="Verdana"/>
                <w:sz w:val="20"/>
                <w:lang w:val="es-CR"/>
              </w:rPr>
            </w:pPr>
            <w:r w:rsidRPr="002D1234">
              <w:rPr>
                <w:rFonts w:ascii="Verdana" w:hAnsi="Verdana"/>
                <w:sz w:val="20"/>
                <w:lang w:val="es-CR"/>
              </w:rPr>
              <w:t>Mayor rigurosidad en el proceso</w:t>
            </w:r>
            <w:proofErr w:type="gramStart"/>
            <w:r w:rsidRPr="002D1234">
              <w:rPr>
                <w:rFonts w:ascii="Verdana" w:hAnsi="Verdana"/>
                <w:sz w:val="20"/>
                <w:lang w:val="es-CR"/>
              </w:rPr>
              <w:t>:  Es</w:t>
            </w:r>
            <w:proofErr w:type="gramEnd"/>
            <w:r w:rsidRPr="002D1234">
              <w:rPr>
                <w:rFonts w:ascii="Verdana" w:hAnsi="Verdana"/>
                <w:sz w:val="20"/>
                <w:lang w:val="es-CR"/>
              </w:rPr>
              <w:t xml:space="preserve"> la primera vez que solicitamos un informe escrito, formularios de acuerdo a los criterios de la Feria Nacional de Ciencia y Tecnología y esto puede haber causado temor en algunos participantes.</w:t>
            </w:r>
          </w:p>
          <w:p w:rsidR="005812CE" w:rsidRDefault="005812CE" w:rsidP="005812CE">
            <w:pPr>
              <w:widowControl/>
              <w:numPr>
                <w:ilvl w:val="0"/>
                <w:numId w:val="9"/>
              </w:numPr>
              <w:snapToGrid/>
              <w:jc w:val="both"/>
              <w:rPr>
                <w:rFonts w:ascii="Verdana" w:hAnsi="Verdana"/>
                <w:sz w:val="20"/>
                <w:lang w:val="es-CR"/>
              </w:rPr>
            </w:pPr>
            <w:r w:rsidRPr="002D1234">
              <w:rPr>
                <w:rFonts w:ascii="Verdana" w:hAnsi="Verdana"/>
                <w:sz w:val="20"/>
                <w:lang w:val="es-CR"/>
              </w:rPr>
              <w:t>Leve compromiso institucional.  El reclutamiento de colegios y profesores es un constante reto.   Todos los profesores reaccionan de manera rápida y eficiente a los procesos previos al programa de campo, pero el compromiso para muchos no se mantiene luego del mismo y esto incide en que los participantes no tengan un rol activo en el desarrollo de proyectos científicos.</w:t>
            </w:r>
          </w:p>
          <w:p w:rsidR="00A939C1" w:rsidRPr="002D1234" w:rsidRDefault="00A939C1" w:rsidP="00A939C1">
            <w:pPr>
              <w:widowControl/>
              <w:snapToGrid/>
              <w:ind w:left="720"/>
              <w:jc w:val="both"/>
              <w:rPr>
                <w:rFonts w:ascii="Verdana" w:hAnsi="Verdana"/>
                <w:sz w:val="20"/>
                <w:lang w:val="es-CR"/>
              </w:rPr>
            </w:pPr>
          </w:p>
          <w:p w:rsidR="005812CE" w:rsidRPr="002D1234" w:rsidRDefault="00A939C1" w:rsidP="005812CE">
            <w:pPr>
              <w:jc w:val="both"/>
              <w:rPr>
                <w:rFonts w:ascii="Verdana" w:hAnsi="Verdana"/>
                <w:sz w:val="20"/>
                <w:lang w:val="es-CR"/>
              </w:rPr>
            </w:pPr>
            <w:r>
              <w:rPr>
                <w:rFonts w:ascii="Verdana" w:hAnsi="Verdana"/>
                <w:sz w:val="20"/>
                <w:lang w:val="es-CR"/>
              </w:rPr>
              <w:t xml:space="preserve">La </w:t>
            </w:r>
            <w:r w:rsidR="005812CE" w:rsidRPr="002D1234">
              <w:rPr>
                <w:rFonts w:ascii="Verdana" w:hAnsi="Verdana"/>
                <w:sz w:val="20"/>
                <w:lang w:val="es-CR"/>
              </w:rPr>
              <w:t xml:space="preserve">principal lección aprendida consiste en mejorar el proceso de reclutamiento de colegios y profesores de manera que nos aseguremos, por medio de una carta de compromiso firmada por el Director, que el colegio destinará los recursos y tiempo necesarios para la implementación del proyecto no solamente en su fase de programa de campo, sino también en su fase de seguimiento.   Para esto ya tenemos un borrador de la carta y nos estaremos reuniendo con las asesoras nacionales de Ciencia y Biología, así como con los asesores regionales de ciencias de Limón (Guápiles, Limón y </w:t>
            </w:r>
            <w:proofErr w:type="spellStart"/>
            <w:r w:rsidR="005812CE" w:rsidRPr="002D1234">
              <w:rPr>
                <w:rFonts w:ascii="Verdana" w:hAnsi="Verdana"/>
                <w:sz w:val="20"/>
                <w:lang w:val="es-CR"/>
              </w:rPr>
              <w:t>Sulá</w:t>
            </w:r>
            <w:proofErr w:type="spellEnd"/>
            <w:r w:rsidR="005812CE" w:rsidRPr="002D1234">
              <w:rPr>
                <w:rFonts w:ascii="Verdana" w:hAnsi="Verdana"/>
                <w:sz w:val="20"/>
                <w:lang w:val="es-CR"/>
              </w:rPr>
              <w:t>) para que ellos convoquen directamente a los colegios en el 2013.</w:t>
            </w:r>
          </w:p>
          <w:p w:rsidR="005812CE" w:rsidRPr="002D1234" w:rsidRDefault="005812CE" w:rsidP="005812CE">
            <w:pPr>
              <w:widowControl/>
              <w:snapToGrid/>
              <w:jc w:val="both"/>
              <w:rPr>
                <w:rFonts w:ascii="Verdana" w:hAnsi="Verdana"/>
                <w:sz w:val="20"/>
                <w:lang w:val="es-CR"/>
              </w:rPr>
            </w:pPr>
          </w:p>
          <w:p w:rsidR="005D7FB8" w:rsidRPr="002D1234" w:rsidRDefault="005D7FB8" w:rsidP="00AB0B53">
            <w:pPr>
              <w:rPr>
                <w:rFonts w:ascii="Verdana" w:hAnsi="Verdana" w:cs="Arial"/>
                <w:sz w:val="20"/>
                <w:lang w:val="es-CR"/>
              </w:rPr>
            </w:pPr>
          </w:p>
        </w:tc>
      </w:tr>
    </w:tbl>
    <w:p w:rsidR="005D7FB8" w:rsidRPr="002D1234" w:rsidRDefault="005D7FB8" w:rsidP="005D7FB8">
      <w:pPr>
        <w:pStyle w:val="Prrafodelista"/>
        <w:ind w:left="540"/>
        <w:rPr>
          <w:rFonts w:ascii="Verdana" w:hAnsi="Verdana" w:cs="Arial"/>
          <w:sz w:val="20"/>
          <w:szCs w:val="20"/>
          <w:lang w:val="es-CR"/>
        </w:rPr>
      </w:pPr>
    </w:p>
    <w:p w:rsidR="005D7FB8" w:rsidRPr="002D1234" w:rsidRDefault="005D7FB8" w:rsidP="005D7FB8">
      <w:pPr>
        <w:pStyle w:val="Prrafodelista"/>
        <w:numPr>
          <w:ilvl w:val="0"/>
          <w:numId w:val="6"/>
        </w:numPr>
        <w:rPr>
          <w:rFonts w:ascii="Verdana" w:hAnsi="Verdana" w:cs="Arial"/>
          <w:b/>
          <w:sz w:val="20"/>
          <w:szCs w:val="20"/>
          <w:lang w:val="es-CR"/>
        </w:rPr>
      </w:pPr>
      <w:r w:rsidRPr="002D1234">
        <w:rPr>
          <w:rFonts w:ascii="Verdana" w:hAnsi="Verdana" w:cs="Arial"/>
          <w:b/>
          <w:sz w:val="20"/>
          <w:szCs w:val="20"/>
          <w:lang w:val="es-CR"/>
        </w:rPr>
        <w:t xml:space="preserve">Fotos </w:t>
      </w:r>
      <w:r w:rsidR="00A16989" w:rsidRPr="002D1234">
        <w:rPr>
          <w:rFonts w:ascii="Verdana" w:hAnsi="Verdana" w:cs="Arial"/>
          <w:b/>
          <w:sz w:val="20"/>
          <w:szCs w:val="20"/>
          <w:lang w:val="es-CR"/>
        </w:rPr>
        <w:t xml:space="preserve"> de las actividades</w:t>
      </w:r>
    </w:p>
    <w:p w:rsidR="005D7FB8" w:rsidRDefault="005D7FB8" w:rsidP="005D7FB8">
      <w:pPr>
        <w:widowControl/>
        <w:rPr>
          <w:rFonts w:ascii="Cambria" w:hAnsi="Cambria" w:cs="Arial"/>
          <w:b/>
          <w:color w:val="000000"/>
          <w:szCs w:val="24"/>
          <w:lang w:val="es-ES"/>
        </w:rPr>
      </w:pPr>
    </w:p>
    <w:tbl>
      <w:tblPr>
        <w:tblStyle w:val="Tablaconcuadrcula"/>
        <w:tblW w:w="0" w:type="auto"/>
        <w:tblLook w:val="04A0" w:firstRow="1" w:lastRow="0" w:firstColumn="1" w:lastColumn="0" w:noHBand="0" w:noVBand="1"/>
      </w:tblPr>
      <w:tblGrid>
        <w:gridCol w:w="4536"/>
        <w:gridCol w:w="4511"/>
      </w:tblGrid>
      <w:tr w:rsidR="00A16989" w:rsidTr="00A16989">
        <w:tc>
          <w:tcPr>
            <w:tcW w:w="4489" w:type="dxa"/>
          </w:tcPr>
          <w:p w:rsidR="00A16989" w:rsidRDefault="006A264C" w:rsidP="005D7FB8">
            <w:r>
              <w:rPr>
                <w:noProof/>
                <w:lang w:val="es-CR" w:eastAsia="es-CR"/>
              </w:rPr>
              <w:lastRenderedPageBreak/>
              <w:drawing>
                <wp:inline distT="0" distB="0" distL="0" distR="0">
                  <wp:extent cx="2727542" cy="2045811"/>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ylor_Taller de Profes (1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28468" cy="2046506"/>
                          </a:xfrm>
                          <a:prstGeom prst="rect">
                            <a:avLst/>
                          </a:prstGeom>
                        </pic:spPr>
                      </pic:pic>
                    </a:graphicData>
                  </a:graphic>
                </wp:inline>
              </w:drawing>
            </w:r>
          </w:p>
        </w:tc>
        <w:tc>
          <w:tcPr>
            <w:tcW w:w="4489" w:type="dxa"/>
          </w:tcPr>
          <w:p w:rsidR="00A16989" w:rsidRDefault="006A264C" w:rsidP="005D7FB8">
            <w:r>
              <w:rPr>
                <w:noProof/>
                <w:lang w:val="es-CR" w:eastAsia="es-CR"/>
              </w:rPr>
              <w:drawing>
                <wp:inline distT="0" distB="0" distL="0" distR="0">
                  <wp:extent cx="2619375" cy="1964679"/>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 Guacimo (2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0264" cy="1965346"/>
                          </a:xfrm>
                          <a:prstGeom prst="rect">
                            <a:avLst/>
                          </a:prstGeom>
                        </pic:spPr>
                      </pic:pic>
                    </a:graphicData>
                  </a:graphic>
                </wp:inline>
              </w:drawing>
            </w:r>
          </w:p>
        </w:tc>
      </w:tr>
      <w:tr w:rsidR="00A16989" w:rsidTr="00A16989">
        <w:tc>
          <w:tcPr>
            <w:tcW w:w="4489" w:type="dxa"/>
          </w:tcPr>
          <w:p w:rsidR="00A16989" w:rsidRDefault="006A264C" w:rsidP="005D7FB8">
            <w:r>
              <w:rPr>
                <w:noProof/>
                <w:lang w:val="es-CR" w:eastAsia="es-CR"/>
              </w:rPr>
              <w:drawing>
                <wp:inline distT="0" distB="0" distL="0" distR="0">
                  <wp:extent cx="2628900" cy="1971824"/>
                  <wp:effectExtent l="0" t="0" r="0" b="952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 Guacimo (6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9792" cy="1972493"/>
                          </a:xfrm>
                          <a:prstGeom prst="rect">
                            <a:avLst/>
                          </a:prstGeom>
                        </pic:spPr>
                      </pic:pic>
                    </a:graphicData>
                  </a:graphic>
                </wp:inline>
              </w:drawing>
            </w:r>
          </w:p>
        </w:tc>
        <w:tc>
          <w:tcPr>
            <w:tcW w:w="4489" w:type="dxa"/>
          </w:tcPr>
          <w:p w:rsidR="00A16989" w:rsidRDefault="006A264C" w:rsidP="005D7FB8">
            <w:r>
              <w:rPr>
                <w:noProof/>
                <w:lang w:val="es-CR" w:eastAsia="es-CR"/>
              </w:rPr>
              <w:drawing>
                <wp:inline distT="0" distB="0" distL="0" distR="0">
                  <wp:extent cx="2309813" cy="3079750"/>
                  <wp:effectExtent l="0" t="0" r="0" b="635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1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12264" cy="3083018"/>
                          </a:xfrm>
                          <a:prstGeom prst="rect">
                            <a:avLst/>
                          </a:prstGeom>
                        </pic:spPr>
                      </pic:pic>
                    </a:graphicData>
                  </a:graphic>
                </wp:inline>
              </w:drawing>
            </w:r>
          </w:p>
        </w:tc>
      </w:tr>
      <w:tr w:rsidR="006A264C" w:rsidTr="00A16989">
        <w:tc>
          <w:tcPr>
            <w:tcW w:w="4489" w:type="dxa"/>
          </w:tcPr>
          <w:p w:rsidR="006A264C" w:rsidRDefault="006A264C" w:rsidP="005D7FB8">
            <w:r>
              <w:rPr>
                <w:noProof/>
                <w:lang w:val="es-CR" w:eastAsia="es-CR"/>
              </w:rPr>
              <w:drawing>
                <wp:inline distT="0" distB="0" distL="0" distR="0">
                  <wp:extent cx="2742993" cy="2057400"/>
                  <wp:effectExtent l="0" t="0" r="635"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EP Pocora (4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49778" cy="2062489"/>
                          </a:xfrm>
                          <a:prstGeom prst="rect">
                            <a:avLst/>
                          </a:prstGeom>
                        </pic:spPr>
                      </pic:pic>
                    </a:graphicData>
                  </a:graphic>
                </wp:inline>
              </w:drawing>
            </w:r>
          </w:p>
        </w:tc>
        <w:tc>
          <w:tcPr>
            <w:tcW w:w="4489" w:type="dxa"/>
          </w:tcPr>
          <w:p w:rsidR="006A264C" w:rsidRDefault="006A264C" w:rsidP="005D7FB8">
            <w:r>
              <w:rPr>
                <w:noProof/>
                <w:lang w:val="es-CR" w:eastAsia="es-CR"/>
              </w:rPr>
              <w:drawing>
                <wp:inline distT="0" distB="0" distL="0" distR="0">
                  <wp:extent cx="2727344" cy="2045662"/>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ina (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33802" cy="2050506"/>
                          </a:xfrm>
                          <a:prstGeom prst="rect">
                            <a:avLst/>
                          </a:prstGeom>
                        </pic:spPr>
                      </pic:pic>
                    </a:graphicData>
                  </a:graphic>
                </wp:inline>
              </w:drawing>
            </w:r>
          </w:p>
        </w:tc>
      </w:tr>
    </w:tbl>
    <w:p w:rsidR="00DC1E1B" w:rsidRPr="005D7FB8" w:rsidRDefault="00DC1E1B" w:rsidP="005D7FB8"/>
    <w:sectPr w:rsidR="00DC1E1B" w:rsidRPr="005D7FB8" w:rsidSect="0063313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162" w:rsidRDefault="00805162" w:rsidP="00DC1E1B">
      <w:r>
        <w:separator/>
      </w:r>
    </w:p>
  </w:endnote>
  <w:endnote w:type="continuationSeparator" w:id="0">
    <w:p w:rsidR="00805162" w:rsidRDefault="00805162" w:rsidP="00DC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162" w:rsidRDefault="00805162" w:rsidP="00DC1E1B">
      <w:r>
        <w:separator/>
      </w:r>
    </w:p>
  </w:footnote>
  <w:footnote w:type="continuationSeparator" w:id="0">
    <w:p w:rsidR="00805162" w:rsidRDefault="00805162" w:rsidP="00DC1E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E3199"/>
    <w:multiLevelType w:val="hybridMultilevel"/>
    <w:tmpl w:val="66D69C0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0CD3848"/>
    <w:multiLevelType w:val="hybridMultilevel"/>
    <w:tmpl w:val="CE341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1DD1B79"/>
    <w:multiLevelType w:val="hybridMultilevel"/>
    <w:tmpl w:val="23C22004"/>
    <w:lvl w:ilvl="0" w:tplc="04090015">
      <w:start w:val="1"/>
      <w:numFmt w:val="upperLetter"/>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4EC76AA"/>
    <w:multiLevelType w:val="hybridMultilevel"/>
    <w:tmpl w:val="7228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CA3CFB"/>
    <w:multiLevelType w:val="hybridMultilevel"/>
    <w:tmpl w:val="46B6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D675CA"/>
    <w:multiLevelType w:val="hybridMultilevel"/>
    <w:tmpl w:val="E4FC3F7C"/>
    <w:lvl w:ilvl="0" w:tplc="658AD996">
      <w:start w:val="1"/>
      <w:numFmt w:val="upp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7E625AE"/>
    <w:multiLevelType w:val="hybridMultilevel"/>
    <w:tmpl w:val="C5805A4E"/>
    <w:lvl w:ilvl="0" w:tplc="BF80086E">
      <w:start w:val="1"/>
      <w:numFmt w:val="upperLetter"/>
      <w:lvlText w:val="%1."/>
      <w:lvlJc w:val="left"/>
      <w:pPr>
        <w:ind w:left="720" w:hanging="36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7">
    <w:nsid w:val="7F0E04E3"/>
    <w:multiLevelType w:val="hybridMultilevel"/>
    <w:tmpl w:val="3B50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2"/>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E1B"/>
    <w:rsid w:val="00034407"/>
    <w:rsid w:val="001040EA"/>
    <w:rsid w:val="001F2012"/>
    <w:rsid w:val="002D1234"/>
    <w:rsid w:val="00301784"/>
    <w:rsid w:val="0030222E"/>
    <w:rsid w:val="004A519B"/>
    <w:rsid w:val="004B1F42"/>
    <w:rsid w:val="004D70C9"/>
    <w:rsid w:val="00532756"/>
    <w:rsid w:val="005812CE"/>
    <w:rsid w:val="005D7FB8"/>
    <w:rsid w:val="0063313A"/>
    <w:rsid w:val="00641DD0"/>
    <w:rsid w:val="006447AD"/>
    <w:rsid w:val="00652EA9"/>
    <w:rsid w:val="00664BA6"/>
    <w:rsid w:val="006A264C"/>
    <w:rsid w:val="006A7BA8"/>
    <w:rsid w:val="007067F9"/>
    <w:rsid w:val="007466A5"/>
    <w:rsid w:val="0076074D"/>
    <w:rsid w:val="00805162"/>
    <w:rsid w:val="00807102"/>
    <w:rsid w:val="009B34DD"/>
    <w:rsid w:val="009C2A48"/>
    <w:rsid w:val="009D1A8B"/>
    <w:rsid w:val="00A16989"/>
    <w:rsid w:val="00A629CA"/>
    <w:rsid w:val="00A939C1"/>
    <w:rsid w:val="00B60CE0"/>
    <w:rsid w:val="00B73057"/>
    <w:rsid w:val="00C25538"/>
    <w:rsid w:val="00C308A8"/>
    <w:rsid w:val="00C46EBF"/>
    <w:rsid w:val="00D7582C"/>
    <w:rsid w:val="00DC1E1B"/>
    <w:rsid w:val="00DF4616"/>
    <w:rsid w:val="00EB09E1"/>
    <w:rsid w:val="00F81314"/>
    <w:rsid w:val="00F86D6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E1B"/>
    <w:pPr>
      <w:widowControl w:val="0"/>
      <w:snapToGrid w:val="0"/>
      <w:jc w:val="left"/>
    </w:pPr>
    <w:rPr>
      <w:rFonts w:ascii="Times New Roman" w:eastAsia="Times New Roman" w:hAnsi="Times New Roman" w:cs="Times New Roman"/>
      <w:sz w:val="24"/>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C1E1B"/>
    <w:pPr>
      <w:widowControl/>
      <w:snapToGrid/>
    </w:pPr>
    <w:rPr>
      <w:sz w:val="20"/>
    </w:rPr>
  </w:style>
  <w:style w:type="character" w:customStyle="1" w:styleId="TextonotapieCar">
    <w:name w:val="Texto nota pie Car"/>
    <w:basedOn w:val="Fuentedeprrafopredeter"/>
    <w:link w:val="Textonotapie"/>
    <w:uiPriority w:val="99"/>
    <w:semiHidden/>
    <w:rsid w:val="00DC1E1B"/>
    <w:rPr>
      <w:rFonts w:ascii="Times New Roman" w:eastAsia="Times New Roman" w:hAnsi="Times New Roman" w:cs="Times New Roman"/>
      <w:sz w:val="20"/>
      <w:szCs w:val="20"/>
      <w:lang w:val="en-US"/>
    </w:rPr>
  </w:style>
  <w:style w:type="paragraph" w:styleId="Prrafodelista">
    <w:name w:val="List Paragraph"/>
    <w:basedOn w:val="Normal"/>
    <w:uiPriority w:val="34"/>
    <w:qFormat/>
    <w:rsid w:val="00DC1E1B"/>
    <w:pPr>
      <w:widowControl/>
      <w:snapToGrid/>
      <w:ind w:left="720"/>
      <w:contextualSpacing/>
    </w:pPr>
    <w:rPr>
      <w:szCs w:val="24"/>
    </w:rPr>
  </w:style>
  <w:style w:type="character" w:styleId="Refdenotaalpie">
    <w:name w:val="footnote reference"/>
    <w:basedOn w:val="Fuentedeprrafopredeter"/>
    <w:uiPriority w:val="99"/>
    <w:semiHidden/>
    <w:unhideWhenUsed/>
    <w:rsid w:val="00DC1E1B"/>
    <w:rPr>
      <w:vertAlign w:val="superscript"/>
    </w:rPr>
  </w:style>
  <w:style w:type="table" w:styleId="Tablaconcuadrcula">
    <w:name w:val="Table Grid"/>
    <w:basedOn w:val="Tablanormal"/>
    <w:uiPriority w:val="59"/>
    <w:rsid w:val="00A169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812CE"/>
    <w:rPr>
      <w:color w:val="0000FF"/>
      <w:u w:val="single"/>
    </w:rPr>
  </w:style>
  <w:style w:type="paragraph" w:styleId="Textodeglobo">
    <w:name w:val="Balloon Text"/>
    <w:basedOn w:val="Normal"/>
    <w:link w:val="TextodegloboCar"/>
    <w:uiPriority w:val="99"/>
    <w:semiHidden/>
    <w:unhideWhenUsed/>
    <w:rsid w:val="006A264C"/>
    <w:rPr>
      <w:rFonts w:ascii="Tahoma" w:hAnsi="Tahoma" w:cs="Tahoma"/>
      <w:sz w:val="16"/>
      <w:szCs w:val="16"/>
    </w:rPr>
  </w:style>
  <w:style w:type="character" w:customStyle="1" w:styleId="TextodegloboCar">
    <w:name w:val="Texto de globo Car"/>
    <w:basedOn w:val="Fuentedeprrafopredeter"/>
    <w:link w:val="Textodeglobo"/>
    <w:uiPriority w:val="99"/>
    <w:semiHidden/>
    <w:rsid w:val="006A264C"/>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E1B"/>
    <w:pPr>
      <w:widowControl w:val="0"/>
      <w:snapToGrid w:val="0"/>
      <w:jc w:val="left"/>
    </w:pPr>
    <w:rPr>
      <w:rFonts w:ascii="Times New Roman" w:eastAsia="Times New Roman" w:hAnsi="Times New Roman" w:cs="Times New Roman"/>
      <w:sz w:val="24"/>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C1E1B"/>
    <w:pPr>
      <w:widowControl/>
      <w:snapToGrid/>
    </w:pPr>
    <w:rPr>
      <w:sz w:val="20"/>
    </w:rPr>
  </w:style>
  <w:style w:type="character" w:customStyle="1" w:styleId="TextonotapieCar">
    <w:name w:val="Texto nota pie Car"/>
    <w:basedOn w:val="Fuentedeprrafopredeter"/>
    <w:link w:val="Textonotapie"/>
    <w:uiPriority w:val="99"/>
    <w:semiHidden/>
    <w:rsid w:val="00DC1E1B"/>
    <w:rPr>
      <w:rFonts w:ascii="Times New Roman" w:eastAsia="Times New Roman" w:hAnsi="Times New Roman" w:cs="Times New Roman"/>
      <w:sz w:val="20"/>
      <w:szCs w:val="20"/>
      <w:lang w:val="en-US"/>
    </w:rPr>
  </w:style>
  <w:style w:type="paragraph" w:styleId="Prrafodelista">
    <w:name w:val="List Paragraph"/>
    <w:basedOn w:val="Normal"/>
    <w:uiPriority w:val="34"/>
    <w:qFormat/>
    <w:rsid w:val="00DC1E1B"/>
    <w:pPr>
      <w:widowControl/>
      <w:snapToGrid/>
      <w:ind w:left="720"/>
      <w:contextualSpacing/>
    </w:pPr>
    <w:rPr>
      <w:szCs w:val="24"/>
    </w:rPr>
  </w:style>
  <w:style w:type="character" w:styleId="Refdenotaalpie">
    <w:name w:val="footnote reference"/>
    <w:basedOn w:val="Fuentedeprrafopredeter"/>
    <w:uiPriority w:val="99"/>
    <w:semiHidden/>
    <w:unhideWhenUsed/>
    <w:rsid w:val="00DC1E1B"/>
    <w:rPr>
      <w:vertAlign w:val="superscript"/>
    </w:rPr>
  </w:style>
  <w:style w:type="table" w:styleId="Tablaconcuadrcula">
    <w:name w:val="Table Grid"/>
    <w:basedOn w:val="Tablanormal"/>
    <w:uiPriority w:val="59"/>
    <w:rsid w:val="00A169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812CE"/>
    <w:rPr>
      <w:color w:val="0000FF"/>
      <w:u w:val="single"/>
    </w:rPr>
  </w:style>
  <w:style w:type="paragraph" w:styleId="Textodeglobo">
    <w:name w:val="Balloon Text"/>
    <w:basedOn w:val="Normal"/>
    <w:link w:val="TextodegloboCar"/>
    <w:uiPriority w:val="99"/>
    <w:semiHidden/>
    <w:unhideWhenUsed/>
    <w:rsid w:val="006A264C"/>
    <w:rPr>
      <w:rFonts w:ascii="Tahoma" w:hAnsi="Tahoma" w:cs="Tahoma"/>
      <w:sz w:val="16"/>
      <w:szCs w:val="16"/>
    </w:rPr>
  </w:style>
  <w:style w:type="character" w:customStyle="1" w:styleId="TextodegloboCar">
    <w:name w:val="Texto de globo Car"/>
    <w:basedOn w:val="Fuentedeprrafopredeter"/>
    <w:link w:val="Textodeglobo"/>
    <w:uiPriority w:val="99"/>
    <w:semiHidden/>
    <w:rsid w:val="006A264C"/>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1288B-C727-49BC-9939-45F4A4BD6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1329</Words>
  <Characters>7314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eduardo.mata</dc:creator>
  <cp:lastModifiedBy>PPD</cp:lastModifiedBy>
  <cp:revision>16</cp:revision>
  <dcterms:created xsi:type="dcterms:W3CDTF">2012-11-25T05:04:00Z</dcterms:created>
  <dcterms:modified xsi:type="dcterms:W3CDTF">2013-01-02T04:43:00Z</dcterms:modified>
</cp:coreProperties>
</file>