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B8" w:rsidRPr="00D67A3F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D67A3F">
        <w:rPr>
          <w:rFonts w:ascii="Verdana" w:hAnsi="Verdana" w:cs="Arial"/>
          <w:b/>
          <w:color w:val="000000"/>
          <w:sz w:val="20"/>
          <w:lang w:val="es-CO"/>
        </w:rPr>
        <w:t>Anexo C (continuación)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030687">
        <w:rPr>
          <w:rFonts w:ascii="Verdana" w:hAnsi="Verdana" w:cs="Arial"/>
          <w:b/>
          <w:color w:val="000000"/>
          <w:sz w:val="20"/>
          <w:lang w:val="es-CO"/>
        </w:rPr>
        <w:t>Plantilla Para Verificar Progreso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ES"/>
        </w:rPr>
      </w:pPr>
    </w:p>
    <w:tbl>
      <w:tblPr>
        <w:tblW w:w="0" w:type="auto"/>
        <w:tblBorders>
          <w:top w:val="dotted" w:sz="2" w:space="0" w:color="4F81BD"/>
          <w:left w:val="dotted" w:sz="2" w:space="0" w:color="4F81BD"/>
          <w:bottom w:val="dotted" w:sz="2" w:space="0" w:color="4F81BD"/>
          <w:right w:val="dotted" w:sz="2" w:space="0" w:color="4F81BD"/>
          <w:insideH w:val="dotted" w:sz="2" w:space="0" w:color="4F81BD"/>
          <w:insideV w:val="dotted" w:sz="2" w:space="0" w:color="4F81BD"/>
        </w:tblBorders>
        <w:tblLook w:val="04A0" w:firstRow="1" w:lastRow="0" w:firstColumn="1" w:lastColumn="0" w:noHBand="0" w:noVBand="1"/>
      </w:tblPr>
      <w:tblGrid>
        <w:gridCol w:w="2339"/>
        <w:gridCol w:w="6715"/>
      </w:tblGrid>
      <w:tr w:rsidR="005D7FB8" w:rsidRPr="00030687" w:rsidTr="00AB0B53">
        <w:tc>
          <w:tcPr>
            <w:tcW w:w="244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sz w:val="20"/>
              </w:rPr>
              <w:t>Fecha</w:t>
            </w:r>
            <w:proofErr w:type="spellEnd"/>
            <w:r w:rsidRPr="00030687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128" w:type="dxa"/>
          </w:tcPr>
          <w:p w:rsidR="005D7FB8" w:rsidRPr="00030687" w:rsidRDefault="001F0F72" w:rsidP="00AB0B5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22 de </w:t>
            </w:r>
            <w:proofErr w:type="spellStart"/>
            <w:r>
              <w:rPr>
                <w:rFonts w:ascii="Verdana" w:hAnsi="Verdana" w:cs="Arial"/>
                <w:sz w:val="20"/>
              </w:rPr>
              <w:t>Noviembre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del 2012</w:t>
            </w:r>
          </w:p>
        </w:tc>
      </w:tr>
      <w:tr w:rsidR="005D7FB8" w:rsidRPr="00030687" w:rsidTr="00AB0B53">
        <w:tc>
          <w:tcPr>
            <w:tcW w:w="244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r w:rsidRPr="00030687">
              <w:rPr>
                <w:rFonts w:ascii="Verdana" w:hAnsi="Verdana" w:cs="Arial"/>
                <w:sz w:val="20"/>
              </w:rPr>
              <w:t>De:</w:t>
            </w:r>
          </w:p>
        </w:tc>
        <w:tc>
          <w:tcPr>
            <w:tcW w:w="712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r w:rsidRPr="00030687">
              <w:rPr>
                <w:rFonts w:ascii="Verdana" w:hAnsi="Verdana" w:cs="Arial"/>
                <w:sz w:val="20"/>
              </w:rPr>
              <w:t>Eduardo Mata Montero</w:t>
            </w:r>
          </w:p>
        </w:tc>
      </w:tr>
      <w:tr w:rsidR="005D7FB8" w:rsidRPr="001F0F72" w:rsidTr="00AB0B53">
        <w:tc>
          <w:tcPr>
            <w:tcW w:w="244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r w:rsidRPr="00030687">
              <w:rPr>
                <w:rFonts w:ascii="Verdana" w:hAnsi="Verdana" w:cs="Arial"/>
                <w:sz w:val="20"/>
              </w:rPr>
              <w:t>A:</w:t>
            </w:r>
          </w:p>
        </w:tc>
        <w:tc>
          <w:tcPr>
            <w:tcW w:w="712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  <w:lang w:val="es-CR"/>
              </w:rPr>
            </w:pPr>
            <w:proofErr w:type="spellStart"/>
            <w:r>
              <w:rPr>
                <w:rFonts w:ascii="Verdana" w:hAnsi="Verdana" w:cs="Arial"/>
                <w:sz w:val="20"/>
                <w:lang w:val="es-CR"/>
              </w:rPr>
              <w:t>Yoriko</w:t>
            </w:r>
            <w:proofErr w:type="spellEnd"/>
            <w:r>
              <w:rPr>
                <w:rFonts w:ascii="Verdana" w:hAnsi="Verdana" w:cs="Arial"/>
                <w:sz w:val="20"/>
                <w:lang w:val="es-C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s-CR"/>
              </w:rPr>
              <w:t>Yasukawa</w:t>
            </w:r>
            <w:proofErr w:type="spellEnd"/>
            <w:r w:rsidRPr="00030687">
              <w:rPr>
                <w:rFonts w:ascii="Verdana" w:hAnsi="Verdana" w:cs="Arial"/>
                <w:sz w:val="20"/>
                <w:lang w:val="es-CR"/>
              </w:rPr>
              <w:t>, Representante Residente PNUD</w:t>
            </w:r>
          </w:p>
        </w:tc>
      </w:tr>
      <w:tr w:rsidR="005D7FB8" w:rsidRPr="001F0F72" w:rsidTr="00AB0B53">
        <w:tc>
          <w:tcPr>
            <w:tcW w:w="244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sz w:val="20"/>
              </w:rPr>
              <w:t>Copia</w:t>
            </w:r>
            <w:proofErr w:type="spellEnd"/>
            <w:r w:rsidRPr="00030687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12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  <w:lang w:val="es-ES"/>
              </w:rPr>
            </w:pPr>
            <w:proofErr w:type="spellStart"/>
            <w:r w:rsidRPr="00030687">
              <w:rPr>
                <w:rFonts w:ascii="Verdana" w:hAnsi="Verdana" w:cs="Arial"/>
                <w:sz w:val="20"/>
                <w:lang w:val="es-ES"/>
              </w:rPr>
              <w:t>Kifah</w:t>
            </w:r>
            <w:proofErr w:type="spellEnd"/>
            <w:r w:rsidRPr="00030687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proofErr w:type="spellStart"/>
            <w:r w:rsidRPr="00030687">
              <w:rPr>
                <w:rFonts w:ascii="Verdana" w:hAnsi="Verdana" w:cs="Arial"/>
                <w:sz w:val="20"/>
                <w:lang w:val="es-ES"/>
              </w:rPr>
              <w:t>Sasa</w:t>
            </w:r>
            <w:proofErr w:type="spellEnd"/>
            <w:r w:rsidRPr="00030687">
              <w:rPr>
                <w:rFonts w:ascii="Verdana" w:hAnsi="Verdana" w:cs="Arial"/>
                <w:sz w:val="20"/>
                <w:lang w:val="es-ES"/>
              </w:rPr>
              <w:t>, Oficial de Ambiente, PNUD</w:t>
            </w:r>
          </w:p>
        </w:tc>
      </w:tr>
      <w:tr w:rsidR="005D7FB8" w:rsidRPr="001F0F72" w:rsidTr="00AB0B53">
        <w:tc>
          <w:tcPr>
            <w:tcW w:w="244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sz w:val="20"/>
              </w:rPr>
              <w:t>Asunto</w:t>
            </w:r>
            <w:proofErr w:type="spellEnd"/>
            <w:r w:rsidRPr="00030687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128" w:type="dxa"/>
          </w:tcPr>
          <w:p w:rsidR="005D7FB8" w:rsidRPr="00030687" w:rsidRDefault="005D7FB8" w:rsidP="00AB0B53">
            <w:pPr>
              <w:rPr>
                <w:rFonts w:ascii="Verdana" w:hAnsi="Verdana" w:cs="Arial"/>
                <w:sz w:val="20"/>
                <w:lang w:val="es-ES"/>
              </w:rPr>
            </w:pPr>
            <w:r w:rsidRPr="00030687">
              <w:rPr>
                <w:rFonts w:ascii="Verdana" w:hAnsi="Verdana" w:cs="Arial"/>
                <w:sz w:val="20"/>
                <w:lang w:val="es-ES"/>
              </w:rPr>
              <w:t>Informe de Avance del Proyecto</w:t>
            </w:r>
          </w:p>
        </w:tc>
      </w:tr>
    </w:tbl>
    <w:p w:rsidR="005D7FB8" w:rsidRPr="00030687" w:rsidRDefault="005D7FB8" w:rsidP="005D7FB8">
      <w:pPr>
        <w:rPr>
          <w:rFonts w:ascii="Verdana" w:hAnsi="Verdana" w:cs="Arial"/>
          <w:sz w:val="20"/>
          <w:lang w:val="es-CO"/>
        </w:rPr>
      </w:pPr>
    </w:p>
    <w:tbl>
      <w:tblPr>
        <w:tblW w:w="9021" w:type="dxa"/>
        <w:tblInd w:w="18" w:type="dxa"/>
        <w:tblLook w:val="04A0" w:firstRow="1" w:lastRow="0" w:firstColumn="1" w:lastColumn="0" w:noHBand="0" w:noVBand="1"/>
      </w:tblPr>
      <w:tblGrid>
        <w:gridCol w:w="3510"/>
        <w:gridCol w:w="5511"/>
      </w:tblGrid>
      <w:tr w:rsidR="005D7FB8" w:rsidRPr="0003068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Número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 xml:space="preserve"> de </w:t>
            </w: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Proyecto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B60CE0" w:rsidP="00AB0B5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COS/SGP/FSP/OP5/</w:t>
            </w:r>
            <w:r w:rsidR="004E7A43">
              <w:rPr>
                <w:rFonts w:ascii="Verdana" w:hAnsi="Verdana" w:cs="Arial"/>
                <w:color w:val="000000"/>
                <w:sz w:val="20"/>
              </w:rPr>
              <w:t>12-07</w:t>
            </w:r>
          </w:p>
        </w:tc>
      </w:tr>
      <w:tr w:rsidR="005D7FB8" w:rsidRPr="004E7A43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Titulo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 xml:space="preserve"> del </w:t>
            </w: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Proyecto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4E7A43" w:rsidRDefault="004E7A43" w:rsidP="00AB0B53">
            <w:pPr>
              <w:rPr>
                <w:rFonts w:ascii="Verdana" w:hAnsi="Verdana" w:cs="Arial"/>
                <w:color w:val="000000"/>
                <w:sz w:val="20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 xml:space="preserve">Gestión Integral del Recurso Hídrico del Corredor Biológico Ruta Los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CR"/>
              </w:rPr>
              <w:t>Malecus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CR"/>
              </w:rPr>
              <w:t xml:space="preserve"> por medio de la conformación  y consolidación de una Unión de Acueductos Rurales  de la Zona Norte-Norte</w:t>
            </w:r>
          </w:p>
        </w:tc>
      </w:tr>
      <w:tr w:rsidR="005D7FB8" w:rsidRPr="004E7A43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Organización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4E7A43" w:rsidRDefault="004E7A43" w:rsidP="00AB0B53">
            <w:pPr>
              <w:rPr>
                <w:rFonts w:ascii="Verdana" w:hAnsi="Verdana" w:cs="Arial"/>
                <w:color w:val="000000"/>
                <w:sz w:val="20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Asociación Administradora de Acueducto Rural El Pavón</w:t>
            </w:r>
          </w:p>
        </w:tc>
      </w:tr>
      <w:tr w:rsidR="005D7FB8" w:rsidRPr="0003068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</w:rPr>
            </w:pPr>
            <w:r w:rsidRPr="00030687">
              <w:rPr>
                <w:rFonts w:ascii="Verdana" w:hAnsi="Verdana" w:cs="Arial"/>
                <w:color w:val="000000"/>
                <w:sz w:val="20"/>
              </w:rPr>
              <w:t xml:space="preserve">Persona </w:t>
            </w: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Contacto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4E7A43" w:rsidP="00AB0B53">
            <w:pPr>
              <w:rPr>
                <w:rFonts w:ascii="Verdana" w:hAnsi="Verdana" w:cs="Arial"/>
                <w:color w:val="000000"/>
                <w:sz w:val="20"/>
                <w:lang w:val="es-CO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Francisco Martínez Rico</w:t>
            </w:r>
          </w:p>
        </w:tc>
      </w:tr>
      <w:tr w:rsidR="005D7FB8" w:rsidRPr="0003068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030687">
              <w:rPr>
                <w:rFonts w:ascii="Verdana" w:hAnsi="Verdana" w:cs="Arial"/>
                <w:color w:val="000000"/>
                <w:sz w:val="20"/>
              </w:rPr>
              <w:t>Monto</w:t>
            </w:r>
            <w:proofErr w:type="spellEnd"/>
            <w:r w:rsidRPr="00030687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="00B60CE0">
              <w:rPr>
                <w:rFonts w:ascii="Verdana" w:hAnsi="Verdana" w:cs="Arial"/>
                <w:color w:val="000000"/>
                <w:sz w:val="20"/>
              </w:rPr>
              <w:t xml:space="preserve">de la </w:t>
            </w:r>
            <w:proofErr w:type="spellStart"/>
            <w:r w:rsidR="00B60CE0">
              <w:rPr>
                <w:rFonts w:ascii="Verdana" w:hAnsi="Verdana" w:cs="Arial"/>
                <w:color w:val="000000"/>
                <w:sz w:val="20"/>
              </w:rPr>
              <w:t>donación</w:t>
            </w:r>
            <w:proofErr w:type="spellEnd"/>
            <w:r w:rsidR="00B60CE0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Pr="00030687">
              <w:rPr>
                <w:rFonts w:ascii="Verdana" w:hAnsi="Verdana" w:cs="Arial"/>
                <w:color w:val="000000"/>
                <w:sz w:val="20"/>
              </w:rPr>
              <w:t>$: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4E7A43" w:rsidP="00AB0B53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$19.909.00</w:t>
            </w:r>
          </w:p>
        </w:tc>
      </w:tr>
      <w:tr w:rsidR="005D7FB8" w:rsidRPr="001F0F72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030687" w:rsidRDefault="005D7FB8" w:rsidP="00AB0B53">
            <w:pPr>
              <w:rPr>
                <w:rFonts w:ascii="Verdana" w:hAnsi="Verdana" w:cs="Arial"/>
                <w:color w:val="000000"/>
                <w:sz w:val="20"/>
                <w:lang w:val="es-ES"/>
              </w:rPr>
            </w:pPr>
            <w:r w:rsidRPr="00030687">
              <w:rPr>
                <w:rFonts w:ascii="Verdana" w:hAnsi="Verdana" w:cs="Arial"/>
                <w:color w:val="000000"/>
                <w:sz w:val="20"/>
                <w:lang w:val="es-ES"/>
              </w:rPr>
              <w:t>Fecha de inicio del proyecto</w:t>
            </w:r>
          </w:p>
          <w:p w:rsidR="005D7FB8" w:rsidRPr="00030687" w:rsidRDefault="00B60CE0" w:rsidP="00AB0B53">
            <w:pPr>
              <w:rPr>
                <w:rFonts w:ascii="Verdana" w:hAnsi="Verdana" w:cs="Arial"/>
                <w:color w:val="000000"/>
                <w:sz w:val="20"/>
                <w:lang w:val="es-ES"/>
              </w:rPr>
            </w:pPr>
            <w:r>
              <w:rPr>
                <w:rFonts w:ascii="Verdana" w:hAnsi="Verdana" w:cs="Arial"/>
                <w:color w:val="000000"/>
                <w:sz w:val="20"/>
                <w:lang w:val="es-ES"/>
              </w:rPr>
              <w:t>Informe Nú</w:t>
            </w:r>
            <w:r w:rsidR="005D7FB8" w:rsidRPr="00030687">
              <w:rPr>
                <w:rFonts w:ascii="Verdana" w:hAnsi="Verdana" w:cs="Arial"/>
                <w:color w:val="000000"/>
                <w:sz w:val="20"/>
                <w:lang w:val="es-ES"/>
              </w:rPr>
              <w:t>mero: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Default="004E7A43" w:rsidP="00AB0B53">
            <w:pPr>
              <w:rPr>
                <w:rFonts w:ascii="Verdana" w:hAnsi="Verdana" w:cs="Arial"/>
                <w:color w:val="000000"/>
                <w:sz w:val="20"/>
                <w:lang w:val="es-CO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Febrero 2012</w:t>
            </w:r>
          </w:p>
          <w:p w:rsidR="00B60CE0" w:rsidRPr="00030687" w:rsidRDefault="004E7A43" w:rsidP="00AB0B53">
            <w:pPr>
              <w:rPr>
                <w:rFonts w:ascii="Verdana" w:hAnsi="Verdana" w:cs="Arial"/>
                <w:color w:val="000000"/>
                <w:sz w:val="20"/>
                <w:lang w:val="es-CO"/>
              </w:rPr>
            </w:pPr>
            <w:r>
              <w:rPr>
                <w:rFonts w:ascii="Verdana" w:hAnsi="Verdana" w:cs="Arial"/>
                <w:color w:val="000000"/>
                <w:sz w:val="20"/>
                <w:lang w:val="es-CO"/>
              </w:rPr>
              <w:t>Primer Informe de Avance</w:t>
            </w:r>
          </w:p>
        </w:tc>
      </w:tr>
    </w:tbl>
    <w:p w:rsidR="005D7FB8" w:rsidRPr="00030687" w:rsidRDefault="005D7FB8" w:rsidP="005D7FB8">
      <w:pPr>
        <w:rPr>
          <w:rFonts w:ascii="Verdana" w:hAnsi="Verdana" w:cs="Arial"/>
          <w:b/>
          <w:sz w:val="20"/>
          <w:lang w:val="es-CO"/>
        </w:rPr>
      </w:pPr>
    </w:p>
    <w:p w:rsidR="005D7FB8" w:rsidRPr="00030687" w:rsidRDefault="00B60CE0" w:rsidP="005D7FB8">
      <w:pPr>
        <w:rPr>
          <w:rFonts w:ascii="Verdana" w:hAnsi="Verdana" w:cs="Arial"/>
          <w:b/>
          <w:sz w:val="20"/>
          <w:lang w:val="es-CO"/>
        </w:rPr>
      </w:pPr>
      <w:r>
        <w:rPr>
          <w:rFonts w:ascii="Verdana" w:hAnsi="Verdana" w:cs="Arial"/>
          <w:b/>
          <w:sz w:val="20"/>
          <w:lang w:val="es-CO"/>
        </w:rPr>
        <w:t>Progreso</w:t>
      </w:r>
      <w:r w:rsidR="005D7FB8" w:rsidRPr="00030687">
        <w:rPr>
          <w:rFonts w:ascii="Verdana" w:hAnsi="Verdana" w:cs="Arial"/>
          <w:b/>
          <w:sz w:val="20"/>
          <w:lang w:val="es-CO"/>
        </w:rPr>
        <w:t>:</w:t>
      </w:r>
    </w:p>
    <w:p w:rsidR="005D7FB8" w:rsidRPr="00030687" w:rsidRDefault="005D7FB8" w:rsidP="005D7FB8">
      <w:pPr>
        <w:rPr>
          <w:rFonts w:ascii="Verdana" w:hAnsi="Verdana" w:cs="Arial"/>
          <w:sz w:val="20"/>
          <w:lang w:val="es-CO"/>
        </w:rPr>
      </w:pPr>
    </w:p>
    <w:p w:rsidR="005D7FB8" w:rsidRPr="00A16989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O"/>
        </w:rPr>
      </w:pPr>
      <w:r w:rsidRPr="00A16989">
        <w:rPr>
          <w:rFonts w:ascii="Verdana" w:hAnsi="Verdana" w:cs="Arial"/>
          <w:b/>
          <w:sz w:val="20"/>
          <w:lang w:val="es-CO"/>
        </w:rPr>
        <w:t>Resumen del estado de avance del Proyecto.</w:t>
      </w:r>
    </w:p>
    <w:p w:rsidR="005D7FB8" w:rsidRPr="00030687" w:rsidRDefault="005D7FB8" w:rsidP="005D7FB8">
      <w:pPr>
        <w:pStyle w:val="Prrafodelista"/>
        <w:rPr>
          <w:rFonts w:ascii="Verdana" w:hAnsi="Verdana" w:cs="Arial"/>
          <w:sz w:val="20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5D7FB8" w:rsidRPr="001F0F72" w:rsidTr="00AB0B53">
        <w:tc>
          <w:tcPr>
            <w:tcW w:w="9558" w:type="dxa"/>
          </w:tcPr>
          <w:p w:rsidR="005D7FB8" w:rsidRPr="00030687" w:rsidRDefault="005D7FB8" w:rsidP="00AB0B53">
            <w:pPr>
              <w:pStyle w:val="Prrafodelista"/>
              <w:ind w:left="0"/>
              <w:rPr>
                <w:rFonts w:ascii="Verdana" w:hAnsi="Verdana" w:cs="Arial"/>
                <w:sz w:val="20"/>
                <w:lang w:val="es-CO"/>
              </w:rPr>
            </w:pPr>
          </w:p>
          <w:p w:rsidR="00A34502" w:rsidRPr="00A34502" w:rsidRDefault="00F81484" w:rsidP="00A34502">
            <w:p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>
              <w:rPr>
                <w:rFonts w:ascii="Cambria" w:hAnsi="Cambria"/>
                <w:sz w:val="22"/>
                <w:szCs w:val="22"/>
                <w:lang w:val="es-CR" w:eastAsia="es-ES"/>
              </w:rPr>
              <w:t>El proyecto avanza de acuerdo a lo planificado, según se muestra en el documento de proyecto. Se trabajó principalmente en la p</w:t>
            </w:r>
            <w:r w:rsidR="00A34502" w:rsidRPr="00A34502">
              <w:rPr>
                <w:rFonts w:ascii="Cambria" w:hAnsi="Cambria"/>
                <w:sz w:val="22"/>
                <w:szCs w:val="22"/>
                <w:lang w:val="es-CR" w:eastAsia="es-ES"/>
              </w:rPr>
              <w:t>romoción  de la  Unión a través de talleres de cantonales, para generar los acuerdos de integr</w:t>
            </w:r>
            <w:r>
              <w:rPr>
                <w:rFonts w:ascii="Cambria" w:hAnsi="Cambria"/>
                <w:sz w:val="22"/>
                <w:szCs w:val="22"/>
                <w:lang w:val="es-CR" w:eastAsia="es-ES"/>
              </w:rPr>
              <w:t>ación de las ASADAS interesadas, a</w:t>
            </w:r>
            <w:r w:rsidR="00A34502" w:rsidRPr="00A34502">
              <w:rPr>
                <w:rFonts w:ascii="Cambria" w:hAnsi="Cambria"/>
                <w:sz w:val="22"/>
                <w:szCs w:val="22"/>
                <w:lang w:val="es-CR" w:eastAsia="es-ES"/>
              </w:rPr>
              <w:t>sesoramiento legal para la conformación</w:t>
            </w:r>
            <w:r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de la Unión de ASADAS, </w:t>
            </w:r>
            <w:r w:rsidR="00A34502" w:rsidRPr="00A34502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toma de acuerdos, elaboración de estatutos y protocolización  de la Unión.</w:t>
            </w:r>
          </w:p>
          <w:p w:rsidR="00A34502" w:rsidRPr="00A34502" w:rsidRDefault="00F81484" w:rsidP="00A34502">
            <w:p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La semana pasada se realizó </w:t>
            </w:r>
            <w:r w:rsidR="00A34502" w:rsidRPr="00A34502">
              <w:rPr>
                <w:rFonts w:ascii="Cambria" w:hAnsi="Cambria"/>
                <w:sz w:val="22"/>
                <w:szCs w:val="22"/>
                <w:lang w:val="es-CR" w:eastAsia="es-ES"/>
              </w:rPr>
              <w:t>la Asamblea General Constitutiva</w:t>
            </w:r>
            <w:r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de la Unión de ASADAS</w:t>
            </w:r>
            <w:r w:rsidR="00A34502" w:rsidRPr="00A34502">
              <w:rPr>
                <w:rFonts w:ascii="Cambria" w:hAnsi="Cambria"/>
                <w:sz w:val="22"/>
                <w:szCs w:val="22"/>
                <w:lang w:val="es-CR" w:eastAsia="es-ES"/>
              </w:rPr>
              <w:t>.</w:t>
            </w:r>
          </w:p>
          <w:p w:rsidR="00A16989" w:rsidRPr="00030687" w:rsidRDefault="00A16989" w:rsidP="00AB0B53">
            <w:pPr>
              <w:pStyle w:val="Prrafodelista"/>
              <w:ind w:left="0"/>
              <w:rPr>
                <w:rFonts w:ascii="Verdana" w:hAnsi="Verdana" w:cs="Arial"/>
                <w:sz w:val="20"/>
                <w:lang w:val="es-CO"/>
              </w:rPr>
            </w:pPr>
          </w:p>
        </w:tc>
      </w:tr>
    </w:tbl>
    <w:p w:rsidR="005D7FB8" w:rsidRPr="00030687" w:rsidRDefault="005D7FB8" w:rsidP="005D7FB8">
      <w:pPr>
        <w:rPr>
          <w:rFonts w:ascii="Verdana" w:hAnsi="Verdana" w:cs="Arial"/>
          <w:sz w:val="20"/>
          <w:lang w:val="es-CO"/>
        </w:rPr>
      </w:pPr>
    </w:p>
    <w:p w:rsidR="005D7FB8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O"/>
        </w:rPr>
      </w:pPr>
      <w:r w:rsidRPr="00A16989">
        <w:rPr>
          <w:rFonts w:ascii="Verdana" w:hAnsi="Verdana" w:cs="Arial"/>
          <w:b/>
          <w:sz w:val="20"/>
          <w:lang w:val="es-CO"/>
        </w:rPr>
        <w:t xml:space="preserve">Actividades </w:t>
      </w:r>
      <w:r w:rsidR="00A16989" w:rsidRPr="00A16989">
        <w:rPr>
          <w:rFonts w:ascii="Verdana" w:hAnsi="Verdana" w:cs="Arial"/>
          <w:b/>
          <w:sz w:val="20"/>
          <w:lang w:val="es-CO"/>
        </w:rPr>
        <w:t>planeadas</w:t>
      </w:r>
      <w:r w:rsidRPr="00A16989">
        <w:rPr>
          <w:rFonts w:ascii="Verdana" w:hAnsi="Verdana" w:cs="Arial"/>
          <w:b/>
          <w:sz w:val="20"/>
          <w:lang w:val="es-CO"/>
        </w:rPr>
        <w:t>.</w:t>
      </w:r>
    </w:p>
    <w:p w:rsidR="00A16989" w:rsidRPr="00A16989" w:rsidRDefault="00A16989" w:rsidP="00A16989">
      <w:pPr>
        <w:pStyle w:val="Prrafodelista"/>
        <w:ind w:left="540"/>
        <w:rPr>
          <w:rFonts w:ascii="Verdana" w:hAnsi="Verdana" w:cs="Arial"/>
          <w:b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D7FB8" w:rsidRPr="00716EA6" w:rsidTr="00AB0B53">
        <w:tc>
          <w:tcPr>
            <w:tcW w:w="9576" w:type="dxa"/>
          </w:tcPr>
          <w:p w:rsidR="00716EA6" w:rsidRDefault="00716EA6" w:rsidP="00716EA6">
            <w:pPr>
              <w:pStyle w:val="Prrafodelista"/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Promoción  de la  Unión a través de talleres de cantonales, para generar los acuerdos de integración de las </w:t>
            </w:r>
            <w:proofErr w:type="gramStart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ASADAS</w:t>
            </w:r>
            <w:proofErr w:type="gramEnd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interesadas.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Asesoramiento legal para la conformación: toma de acuerdos, elaboración de estatutos y protocolización  de la Unión.</w:t>
            </w:r>
          </w:p>
          <w:p w:rsidR="005D7FB8" w:rsidRPr="00716EA6" w:rsidRDefault="00716EA6" w:rsidP="00716EA6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Realización de la Asamblea General Constitutiva.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Cotización y compra de equipo básico para las gestiones y formación de las ASADAS miembros (computadora, impresora y proyector)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 xml:space="preserve">Fortalecimiento de organizaciones miembros de la Unión por </w:t>
            </w:r>
            <w:proofErr w:type="gramStart"/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>medio eventos</w:t>
            </w:r>
            <w:proofErr w:type="gramEnd"/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 xml:space="preserve"> de capacitación en recurso hídrico.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>Elaboración y validación de Plan Estratégico mediante 3 talleres cantonales (uno por cantón y 2 regionales.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>Edición, reproducción  y distribución del documento del plan estratégico entre ASADAS e instituciones claves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lastRenderedPageBreak/>
              <w:t>Divulgación en medios de comunicación locales.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Elaboración de un boletín divulgativo de las primeras acciones de la organización.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Reuniones de la Comisión Organizadora para la planificación y ejecución del Segundo Encuentro de ASADAS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Realización del evento 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Elaboración, edición y distribución de Memoria y evaluación del evento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Reuniones de coordinación y seguimiento de los avances de la organización y con actores claves: Junta Directiva, </w:t>
            </w:r>
            <w:proofErr w:type="gramStart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ASADAS</w:t>
            </w:r>
            <w:proofErr w:type="gramEnd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, </w:t>
            </w:r>
            <w:proofErr w:type="spellStart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AyA</w:t>
            </w:r>
            <w:proofErr w:type="spellEnd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, MINAET, Ministerio de Salud, gobiernos locales y otros.</w:t>
            </w:r>
          </w:p>
          <w:p w:rsidR="00716EA6" w:rsidRPr="00716EA6" w:rsidRDefault="00716EA6" w:rsidP="00716EA6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Negociación para la integración de la propuesta de trabajo de la Unión de Acueductos en el Plan de Desarrollo  Regional</w:t>
            </w:r>
          </w:p>
          <w:p w:rsidR="00A16989" w:rsidRPr="00B16D37" w:rsidRDefault="00716EA6" w:rsidP="00AB0B53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Promoción para  que el recurso hídrico de los tres cantones sea definido de interés público de la Zona Norte </w:t>
            </w:r>
            <w:proofErr w:type="spellStart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Norte</w:t>
            </w:r>
            <w:proofErr w:type="spellEnd"/>
          </w:p>
          <w:p w:rsidR="00B60CE0" w:rsidRPr="00716EA6" w:rsidRDefault="00B60CE0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</w:tc>
      </w:tr>
    </w:tbl>
    <w:p w:rsidR="005D7FB8" w:rsidRPr="00716EA6" w:rsidRDefault="005D7FB8" w:rsidP="005D7FB8">
      <w:pPr>
        <w:rPr>
          <w:rFonts w:ascii="Verdana" w:hAnsi="Verdana" w:cs="Arial"/>
          <w:sz w:val="20"/>
          <w:lang w:val="es-CR"/>
        </w:rPr>
      </w:pPr>
    </w:p>
    <w:p w:rsidR="005D7FB8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O"/>
        </w:rPr>
      </w:pPr>
      <w:r w:rsidRPr="00A16989">
        <w:rPr>
          <w:rFonts w:ascii="Verdana" w:hAnsi="Verdana" w:cs="Arial"/>
          <w:b/>
          <w:sz w:val="20"/>
          <w:lang w:val="es-CO"/>
        </w:rPr>
        <w:t xml:space="preserve">Actividades </w:t>
      </w:r>
      <w:r w:rsidR="00B60CE0">
        <w:rPr>
          <w:rFonts w:ascii="Verdana" w:hAnsi="Verdana" w:cs="Arial"/>
          <w:b/>
          <w:sz w:val="20"/>
          <w:lang w:val="es-CO"/>
        </w:rPr>
        <w:t>ejecutadas</w:t>
      </w:r>
      <w:r w:rsidRPr="00A16989">
        <w:rPr>
          <w:rFonts w:ascii="Verdana" w:hAnsi="Verdana" w:cs="Arial"/>
          <w:b/>
          <w:sz w:val="20"/>
          <w:lang w:val="es-CO"/>
        </w:rPr>
        <w:t>.</w:t>
      </w:r>
    </w:p>
    <w:p w:rsidR="00A16989" w:rsidRPr="00A16989" w:rsidRDefault="00A16989" w:rsidP="00A16989">
      <w:pPr>
        <w:pStyle w:val="Prrafodelista"/>
        <w:ind w:left="540"/>
        <w:rPr>
          <w:rFonts w:ascii="Verdana" w:hAnsi="Verdana" w:cs="Arial"/>
          <w:b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D7FB8" w:rsidRPr="00716EA6" w:rsidTr="00AB0B53">
        <w:tc>
          <w:tcPr>
            <w:tcW w:w="9576" w:type="dxa"/>
          </w:tcPr>
          <w:p w:rsidR="005D7FB8" w:rsidRDefault="005D7FB8" w:rsidP="00AB0B53">
            <w:pPr>
              <w:rPr>
                <w:rFonts w:ascii="Verdana" w:hAnsi="Verdana" w:cs="Arial"/>
                <w:sz w:val="20"/>
              </w:rPr>
            </w:pPr>
          </w:p>
          <w:p w:rsidR="00716EA6" w:rsidRPr="00B16D37" w:rsidRDefault="00716EA6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Se han realizado dos talleres cantonales con ASADAS de </w:t>
            </w:r>
            <w:proofErr w:type="spellStart"/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Upala</w:t>
            </w:r>
            <w:proofErr w:type="spellEnd"/>
            <w:r w:rsidR="00B16D37"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y Los Chiles para un total de 18 </w:t>
            </w: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acueductos participantes.</w:t>
            </w:r>
          </w:p>
          <w:p w:rsidR="00716EA6" w:rsidRPr="00B16D37" w:rsidRDefault="00B16D37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>
              <w:rPr>
                <w:rFonts w:ascii="Cambria" w:hAnsi="Cambria"/>
                <w:sz w:val="22"/>
                <w:szCs w:val="22"/>
                <w:lang w:val="es-CR" w:eastAsia="es-ES"/>
              </w:rPr>
              <w:t>S</w:t>
            </w:r>
            <w:r w:rsidR="00716EA6"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e cuenta con  acuerdos de </w:t>
            </w:r>
            <w:r>
              <w:rPr>
                <w:rFonts w:ascii="Cambria" w:hAnsi="Cambria"/>
                <w:sz w:val="22"/>
                <w:szCs w:val="22"/>
                <w:lang w:val="es-CR" w:eastAsia="es-ES"/>
              </w:rPr>
              <w:t>A</w:t>
            </w:r>
            <w:r w:rsidR="00716EA6"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samblea de ocho ASADAS para integrar la Unión:  Santa Cecilia y Pavón de Los Chiles, Los Santos, Moreno Cañas y Colonia Puntarenas de </w:t>
            </w:r>
            <w:proofErr w:type="spellStart"/>
            <w:r w:rsidR="00716EA6"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Upala</w:t>
            </w:r>
            <w:proofErr w:type="spellEnd"/>
            <w:r w:rsidR="00716EA6"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, Santa Fe, Buena Vista y La Florida de Guatuso.</w:t>
            </w:r>
          </w:p>
          <w:p w:rsidR="00716EA6" w:rsidRPr="00B16D37" w:rsidRDefault="00716EA6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Se contrataron los servicios profesionales de un abogado y notario para hacer la revisión detallada, aclaraciones, correcciones y edición final en forma conjunta con la Comisión Pro – Unión de Acueductos, del Estatuto propuesto para la Unión. Ya fue entregado a las ASADAS y está en revisión final por parte de ellas.</w:t>
            </w:r>
          </w:p>
          <w:p w:rsidR="00716EA6" w:rsidRPr="00B16D37" w:rsidRDefault="00716EA6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También se realizaron consultas y revisiones por parte de funcionarios del área legal del </w:t>
            </w:r>
            <w:proofErr w:type="spellStart"/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AyA</w:t>
            </w:r>
            <w:proofErr w:type="spellEnd"/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tanto de la Oficina Regional </w:t>
            </w:r>
            <w:proofErr w:type="spellStart"/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Huetar</w:t>
            </w:r>
            <w:proofErr w:type="spellEnd"/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Norte como oficinas centrales en San José.</w:t>
            </w:r>
          </w:p>
          <w:p w:rsidR="00716EA6" w:rsidRPr="00B16D37" w:rsidRDefault="00716EA6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>La asamblea está organizada y fue convocada para realizarla el 16 de noviembre de 2012, dado que se está en el proceso final de revisión del estatuto por parte de las ASADAS y por las fechas de Asambleas Generales de las mismas, que permitan conseguir más acuerdos de integración.</w:t>
            </w:r>
          </w:p>
          <w:p w:rsidR="00A16989" w:rsidRPr="00B16D37" w:rsidRDefault="00B16D37" w:rsidP="00B16D37">
            <w:pPr>
              <w:pStyle w:val="Prrafodelista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 xml:space="preserve">Se adquirió </w:t>
            </w:r>
            <w:r w:rsidRPr="00B16D37">
              <w:rPr>
                <w:rFonts w:ascii="Cambria" w:hAnsi="Cambria"/>
                <w:sz w:val="22"/>
                <w:szCs w:val="22"/>
                <w:lang w:val="es-CR"/>
              </w:rPr>
              <w:t>equipo básico para la gestión y ejecución de las acciones de la Comisión Pro – Unión: computadora portátil, proyector de multimedia, impresora multifuncional y cámara digital.</w:t>
            </w:r>
          </w:p>
          <w:p w:rsidR="00B16D37" w:rsidRPr="00B16D37" w:rsidRDefault="00B16D37" w:rsidP="00B16D37">
            <w:pPr>
              <w:pStyle w:val="Prrafodelista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/>
              </w:rPr>
              <w:t>Se adquirió el siguiente equipo básico para la gestión y ejecución de las acciones de la Comisión Pro – Unión: computadora portátil, proyector de multimedia, impresora multifuncional y cámara digital.</w:t>
            </w:r>
          </w:p>
          <w:p w:rsidR="00A16989" w:rsidRPr="00B16D37" w:rsidRDefault="00B16D37" w:rsidP="00B16D3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B16D37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Se han realizado siete reuniones mensuales de seguimiento de la Comisión Pro Unión de Acueductos dentro del periodo de firma del convenio a la fecha.  </w:t>
            </w:r>
          </w:p>
        </w:tc>
      </w:tr>
    </w:tbl>
    <w:p w:rsidR="005D7FB8" w:rsidRPr="00716EA6" w:rsidRDefault="005D7FB8" w:rsidP="005D7FB8">
      <w:pPr>
        <w:rPr>
          <w:rFonts w:ascii="Verdana" w:hAnsi="Verdana" w:cs="Arial"/>
          <w:sz w:val="20"/>
          <w:lang w:val="es-CR"/>
        </w:rPr>
      </w:pPr>
    </w:p>
    <w:p w:rsidR="005D7FB8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O"/>
        </w:rPr>
      </w:pPr>
      <w:r w:rsidRPr="00A16989">
        <w:rPr>
          <w:rFonts w:ascii="Verdana" w:hAnsi="Verdana" w:cs="Arial"/>
          <w:b/>
          <w:sz w:val="20"/>
          <w:lang w:val="es-CO"/>
        </w:rPr>
        <w:t>Actividades p</w:t>
      </w:r>
      <w:r w:rsidR="00A16989" w:rsidRPr="00A16989">
        <w:rPr>
          <w:rFonts w:ascii="Verdana" w:hAnsi="Verdana" w:cs="Arial"/>
          <w:b/>
          <w:sz w:val="20"/>
          <w:lang w:val="es-CO"/>
        </w:rPr>
        <w:t>or concluir en próximo periodo</w:t>
      </w:r>
      <w:r w:rsidRPr="00A16989">
        <w:rPr>
          <w:rFonts w:ascii="Verdana" w:hAnsi="Verdana" w:cs="Arial"/>
          <w:b/>
          <w:sz w:val="20"/>
          <w:lang w:val="es-CO"/>
        </w:rPr>
        <w:t xml:space="preserve">. </w:t>
      </w:r>
    </w:p>
    <w:p w:rsidR="00A16989" w:rsidRPr="00A16989" w:rsidRDefault="00A16989" w:rsidP="00A16989">
      <w:pPr>
        <w:pStyle w:val="Prrafodelista"/>
        <w:ind w:left="540"/>
        <w:rPr>
          <w:rFonts w:ascii="Verdana" w:hAnsi="Verdana" w:cs="Arial"/>
          <w:b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D7FB8" w:rsidRPr="001F0F72" w:rsidTr="00AB0B53">
        <w:tc>
          <w:tcPr>
            <w:tcW w:w="9576" w:type="dxa"/>
          </w:tcPr>
          <w:p w:rsidR="005D7FB8" w:rsidRPr="00B60CE0" w:rsidRDefault="005D7FB8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  <w:p w:rsidR="00A16989" w:rsidRDefault="004B559F" w:rsidP="00AB0B53">
            <w:pPr>
              <w:rPr>
                <w:rFonts w:ascii="Verdana" w:hAnsi="Verdana" w:cs="Arial"/>
                <w:sz w:val="20"/>
                <w:lang w:val="es-CR"/>
              </w:rPr>
            </w:pPr>
            <w:r>
              <w:rPr>
                <w:rFonts w:ascii="Verdana" w:hAnsi="Verdana" w:cs="Arial"/>
                <w:sz w:val="20"/>
                <w:lang w:val="es-CR"/>
              </w:rPr>
              <w:t>Entre las principales actividades para el próximo periodo se tienen:</w:t>
            </w:r>
          </w:p>
          <w:p w:rsidR="004B559F" w:rsidRDefault="004B559F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  <w:p w:rsidR="004B559F" w:rsidRDefault="004B559F" w:rsidP="004B559F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 w:rsidRPr="00716EA6">
              <w:rPr>
                <w:rFonts w:ascii="Cambria" w:hAnsi="Cambria"/>
                <w:sz w:val="22"/>
                <w:szCs w:val="22"/>
                <w:lang w:val="es-CR"/>
              </w:rPr>
              <w:t>Elaboración y validación de Plan Estratégico mediante 3 talleres cantonales (uno por cantón y 2 regionales.</w:t>
            </w:r>
          </w:p>
          <w:p w:rsidR="00ED556F" w:rsidRDefault="00ED556F" w:rsidP="004B559F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lastRenderedPageBreak/>
              <w:t>Realización de encuentro de ASADAS</w:t>
            </w:r>
          </w:p>
          <w:p w:rsidR="00ED556F" w:rsidRPr="00B16D37" w:rsidRDefault="00ED556F" w:rsidP="00ED556F">
            <w:pPr>
              <w:pStyle w:val="Prrafodelista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  <w:lang w:val="es-CR" w:eastAsia="es-ES"/>
              </w:rPr>
            </w:pPr>
            <w:r>
              <w:rPr>
                <w:rFonts w:ascii="Cambria" w:hAnsi="Cambria"/>
                <w:sz w:val="22"/>
                <w:szCs w:val="22"/>
                <w:lang w:val="es-CR" w:eastAsia="es-ES"/>
              </w:rPr>
              <w:t>Buscar</w:t>
            </w:r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 que el recurso hídrico de los tres cantones sea definido de interés público de la Zona Norte </w:t>
            </w:r>
            <w:proofErr w:type="spellStart"/>
            <w:r w:rsidRPr="00716EA6">
              <w:rPr>
                <w:rFonts w:ascii="Cambria" w:hAnsi="Cambria"/>
                <w:sz w:val="22"/>
                <w:szCs w:val="22"/>
                <w:lang w:val="es-CR" w:eastAsia="es-ES"/>
              </w:rPr>
              <w:t>Norte</w:t>
            </w:r>
            <w:proofErr w:type="spellEnd"/>
          </w:p>
          <w:p w:rsidR="00ED556F" w:rsidRDefault="00ED556F" w:rsidP="004B559F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Elaboración de Boletín para divulgación del quehacer de las ASADAS</w:t>
            </w:r>
          </w:p>
          <w:p w:rsidR="00ED556F" w:rsidRDefault="00ED556F" w:rsidP="004B559F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Participación en eventos y capacitaciones</w:t>
            </w:r>
          </w:p>
          <w:p w:rsidR="00ED556F" w:rsidRPr="00716EA6" w:rsidRDefault="00ED556F" w:rsidP="004B559F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Participación en Feria en Granada “Feria nuestra agua”</w:t>
            </w:r>
          </w:p>
          <w:p w:rsidR="00B60CE0" w:rsidRPr="00B60CE0" w:rsidRDefault="00B60CE0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  <w:p w:rsidR="005D7FB8" w:rsidRPr="00B60CE0" w:rsidRDefault="005D7FB8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</w:tc>
      </w:tr>
    </w:tbl>
    <w:p w:rsidR="005D7FB8" w:rsidRPr="00B60CE0" w:rsidRDefault="005D7FB8" w:rsidP="005D7FB8">
      <w:pPr>
        <w:rPr>
          <w:rFonts w:ascii="Verdana" w:hAnsi="Verdana" w:cs="Arial"/>
          <w:sz w:val="20"/>
          <w:lang w:val="es-CR"/>
        </w:rPr>
      </w:pPr>
    </w:p>
    <w:p w:rsidR="005D7FB8" w:rsidRPr="00A16989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O"/>
        </w:rPr>
      </w:pPr>
      <w:r w:rsidRPr="00A16989">
        <w:rPr>
          <w:rFonts w:ascii="Verdana" w:hAnsi="Verdana" w:cs="Arial"/>
          <w:b/>
          <w:sz w:val="20"/>
          <w:lang w:val="es-CO"/>
        </w:rPr>
        <w:t xml:space="preserve"> Experiencias, lecciones aprendidas y dificultades en este periodo</w:t>
      </w:r>
    </w:p>
    <w:p w:rsidR="00A16989" w:rsidRPr="00030687" w:rsidRDefault="00A16989" w:rsidP="00A16989">
      <w:pPr>
        <w:pStyle w:val="Prrafodelista"/>
        <w:ind w:left="540"/>
        <w:rPr>
          <w:rFonts w:ascii="Verdana" w:hAnsi="Verdana" w:cs="Arial"/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D7FB8" w:rsidRPr="001F0F72" w:rsidTr="00AB0B53">
        <w:tc>
          <w:tcPr>
            <w:tcW w:w="9576" w:type="dxa"/>
          </w:tcPr>
          <w:p w:rsidR="005D7FB8" w:rsidRDefault="005D7FB8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  <w:p w:rsidR="0003039A" w:rsidRPr="0003039A" w:rsidRDefault="0003039A" w:rsidP="0003039A">
            <w:pPr>
              <w:widowControl/>
              <w:numPr>
                <w:ilvl w:val="0"/>
                <w:numId w:val="18"/>
              </w:numPr>
              <w:snapToGrid/>
              <w:contextualSpacing/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>Algunas Juntas Directivas de ASADAS realizaron cambio de miembros que ya estaban identificados con el proceso, o le dedicaron esfuerzos a otras labores dentro del acueducto que recién asumían (construcciones y mejoras), por lo que en algunos casos ha atrasado la toma de acuerdos.  Sin embargo ya se ha conversado con ellos y están anuentes a retomar esta iniciativa en las siguientes fechas de asambleas generales ordinarias o convocar extraordinarias para tener los acuerdos para la Asamblea Constitutiva de la Unión.</w:t>
            </w:r>
          </w:p>
          <w:p w:rsidR="0003039A" w:rsidRPr="00B60CE0" w:rsidRDefault="0003039A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  <w:p w:rsidR="0003039A" w:rsidRPr="0003039A" w:rsidRDefault="0003039A" w:rsidP="0003039A">
            <w:pPr>
              <w:widowControl/>
              <w:numPr>
                <w:ilvl w:val="0"/>
                <w:numId w:val="18"/>
              </w:numPr>
              <w:snapToGrid/>
              <w:contextualSpacing/>
              <w:jc w:val="both"/>
              <w:rPr>
                <w:rFonts w:ascii="Cambria" w:hAnsi="Cambria"/>
                <w:sz w:val="22"/>
                <w:szCs w:val="22"/>
                <w:lang w:val="es-CR" w:eastAsia="es-ES"/>
              </w:rPr>
            </w:pPr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Durante los meses de mayo a agosto de 2012 se realizaron en los tres cantones actividades para los Planes de Desarrollo Humano, que constituyen la primera etapa del Plan Estratégico Regional de la Zona Norte </w:t>
            </w:r>
            <w:proofErr w:type="spellStart"/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>Norte</w:t>
            </w:r>
            <w:proofErr w:type="spellEnd"/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, así como la reactivación del proceso de los planes reguladores de </w:t>
            </w:r>
            <w:proofErr w:type="spellStart"/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>Upala</w:t>
            </w:r>
            <w:proofErr w:type="spellEnd"/>
            <w:r w:rsidRPr="0003039A">
              <w:rPr>
                <w:rFonts w:ascii="Cambria" w:hAnsi="Cambria"/>
                <w:sz w:val="22"/>
                <w:szCs w:val="22"/>
                <w:lang w:val="es-CR" w:eastAsia="es-ES"/>
              </w:rPr>
              <w:t xml:space="preserve"> y Guatuso, con lo cual se realizaron en ese período más de 40 talleres de apertura, distritales y de validación, así como sesiones adicionales de trabajo en las que las ASADAS de la zona participaron activamente.  Esta situación, aunque positiva y relacionada al proceso de abordaje e integración del tema de recurso hídrico dentro de esta planificación regional, provocó saturación de convocatorias a muchas de las ASADAS de la zona, con lo cual se dificultó la realización de los talleres cantonales de motivación para los acueductos.  Sin embargo por las reuniones realizadas a finales del 2012 y al seguimiento de la Comisión a algunas ASADAS claves en el proceso, durante este período se ha logrado conseguir ocho acuerdos de integración a la Unión.</w:t>
            </w:r>
          </w:p>
          <w:p w:rsidR="005D7FB8" w:rsidRPr="00B60CE0" w:rsidRDefault="005D7FB8" w:rsidP="00AB0B53">
            <w:pPr>
              <w:rPr>
                <w:rFonts w:ascii="Verdana" w:hAnsi="Verdana" w:cs="Arial"/>
                <w:sz w:val="20"/>
                <w:lang w:val="es-CR"/>
              </w:rPr>
            </w:pPr>
          </w:p>
        </w:tc>
      </w:tr>
    </w:tbl>
    <w:p w:rsidR="005D7FB8" w:rsidRPr="00B60CE0" w:rsidRDefault="005D7FB8" w:rsidP="005D7FB8">
      <w:pPr>
        <w:pStyle w:val="Prrafodelista"/>
        <w:ind w:left="540"/>
        <w:rPr>
          <w:rFonts w:ascii="Verdana" w:hAnsi="Verdana" w:cs="Arial"/>
          <w:sz w:val="20"/>
          <w:lang w:val="es-CR"/>
        </w:rPr>
      </w:pPr>
    </w:p>
    <w:p w:rsidR="005D7FB8" w:rsidRPr="00A16989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0"/>
          <w:lang w:val="es-CR"/>
        </w:rPr>
      </w:pPr>
      <w:r w:rsidRPr="00A16989">
        <w:rPr>
          <w:rFonts w:ascii="Verdana" w:hAnsi="Verdana" w:cs="Arial"/>
          <w:b/>
          <w:sz w:val="20"/>
          <w:lang w:val="es-CR"/>
        </w:rPr>
        <w:t xml:space="preserve">Fotos </w:t>
      </w:r>
      <w:r w:rsidR="00A16989" w:rsidRPr="00A16989">
        <w:rPr>
          <w:rFonts w:ascii="Verdana" w:hAnsi="Verdana" w:cs="Arial"/>
          <w:b/>
          <w:sz w:val="20"/>
          <w:lang w:val="es-CR"/>
        </w:rPr>
        <w:t xml:space="preserve"> de las actividades</w:t>
      </w:r>
    </w:p>
    <w:p w:rsidR="005D7FB8" w:rsidRDefault="005D7FB8" w:rsidP="005D7FB8">
      <w:pPr>
        <w:widowControl/>
        <w:rPr>
          <w:rFonts w:ascii="Cambria" w:hAnsi="Cambria" w:cs="Arial"/>
          <w:b/>
          <w:color w:val="00000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16989" w:rsidTr="00A16989">
        <w:tc>
          <w:tcPr>
            <w:tcW w:w="4489" w:type="dxa"/>
          </w:tcPr>
          <w:p w:rsidR="00A16989" w:rsidRDefault="00A16989" w:rsidP="005D7FB8"/>
        </w:tc>
        <w:tc>
          <w:tcPr>
            <w:tcW w:w="4489" w:type="dxa"/>
          </w:tcPr>
          <w:p w:rsidR="00A16989" w:rsidRDefault="00A16989" w:rsidP="005D7FB8"/>
        </w:tc>
      </w:tr>
      <w:tr w:rsidR="00A16989" w:rsidTr="00A16989">
        <w:tc>
          <w:tcPr>
            <w:tcW w:w="4489" w:type="dxa"/>
          </w:tcPr>
          <w:p w:rsidR="00A16989" w:rsidRDefault="00A16989" w:rsidP="005D7FB8"/>
        </w:tc>
        <w:tc>
          <w:tcPr>
            <w:tcW w:w="4489" w:type="dxa"/>
          </w:tcPr>
          <w:p w:rsidR="00A16989" w:rsidRDefault="00A16989" w:rsidP="005D7FB8"/>
        </w:tc>
      </w:tr>
    </w:tbl>
    <w:p w:rsidR="00DC1E1B" w:rsidRPr="005D7FB8" w:rsidRDefault="00DC1E1B" w:rsidP="005D7FB8">
      <w:bookmarkStart w:id="0" w:name="_GoBack"/>
      <w:bookmarkEnd w:id="0"/>
    </w:p>
    <w:sectPr w:rsidR="00DC1E1B" w:rsidRPr="005D7FB8" w:rsidSect="0063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1B" w:rsidRDefault="00DC1E1B" w:rsidP="00DC1E1B">
      <w:r>
        <w:separator/>
      </w:r>
    </w:p>
  </w:endnote>
  <w:endnote w:type="continuationSeparator" w:id="0">
    <w:p w:rsidR="00DC1E1B" w:rsidRDefault="00DC1E1B" w:rsidP="00D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1B" w:rsidRDefault="00DC1E1B" w:rsidP="00DC1E1B">
      <w:r>
        <w:separator/>
      </w:r>
    </w:p>
  </w:footnote>
  <w:footnote w:type="continuationSeparator" w:id="0">
    <w:p w:rsidR="00DC1E1B" w:rsidRDefault="00DC1E1B" w:rsidP="00DC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199"/>
    <w:multiLevelType w:val="hybridMultilevel"/>
    <w:tmpl w:val="66D6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0350"/>
    <w:multiLevelType w:val="multilevel"/>
    <w:tmpl w:val="9A5AFC8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CD3848"/>
    <w:multiLevelType w:val="hybridMultilevel"/>
    <w:tmpl w:val="CE34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B4C9C"/>
    <w:multiLevelType w:val="multilevel"/>
    <w:tmpl w:val="6D8855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D62716"/>
    <w:multiLevelType w:val="hybridMultilevel"/>
    <w:tmpl w:val="845073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415C"/>
    <w:multiLevelType w:val="multilevel"/>
    <w:tmpl w:val="44E0B9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680899"/>
    <w:multiLevelType w:val="hybridMultilevel"/>
    <w:tmpl w:val="F252D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4A94"/>
    <w:multiLevelType w:val="hybridMultilevel"/>
    <w:tmpl w:val="B5227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506F"/>
    <w:multiLevelType w:val="multilevel"/>
    <w:tmpl w:val="071629D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5C7FCC"/>
    <w:multiLevelType w:val="multilevel"/>
    <w:tmpl w:val="F78C3B1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214C8B"/>
    <w:multiLevelType w:val="multilevel"/>
    <w:tmpl w:val="6ABAC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687A4D"/>
    <w:multiLevelType w:val="multilevel"/>
    <w:tmpl w:val="666246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DD1B79"/>
    <w:multiLevelType w:val="hybridMultilevel"/>
    <w:tmpl w:val="23C2200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675CA"/>
    <w:multiLevelType w:val="hybridMultilevel"/>
    <w:tmpl w:val="E4FC3F7C"/>
    <w:lvl w:ilvl="0" w:tplc="658AD99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625AE"/>
    <w:multiLevelType w:val="hybridMultilevel"/>
    <w:tmpl w:val="C5805A4E"/>
    <w:lvl w:ilvl="0" w:tplc="BF800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1E3A"/>
    <w:multiLevelType w:val="multilevel"/>
    <w:tmpl w:val="ACB40D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2C5080"/>
    <w:multiLevelType w:val="multilevel"/>
    <w:tmpl w:val="007E4A1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B"/>
    <w:rsid w:val="0003039A"/>
    <w:rsid w:val="001040EA"/>
    <w:rsid w:val="001F0F72"/>
    <w:rsid w:val="00301784"/>
    <w:rsid w:val="0030222E"/>
    <w:rsid w:val="004A519B"/>
    <w:rsid w:val="004B1F42"/>
    <w:rsid w:val="004B559F"/>
    <w:rsid w:val="004D70C9"/>
    <w:rsid w:val="004E7A43"/>
    <w:rsid w:val="005D7FB8"/>
    <w:rsid w:val="0063313A"/>
    <w:rsid w:val="00641DD0"/>
    <w:rsid w:val="006447AD"/>
    <w:rsid w:val="00664BA6"/>
    <w:rsid w:val="006A7BA8"/>
    <w:rsid w:val="007067F9"/>
    <w:rsid w:val="00716EA6"/>
    <w:rsid w:val="007466A5"/>
    <w:rsid w:val="0076074D"/>
    <w:rsid w:val="009C2A48"/>
    <w:rsid w:val="009D1A8B"/>
    <w:rsid w:val="00A16989"/>
    <w:rsid w:val="00A34502"/>
    <w:rsid w:val="00B16D37"/>
    <w:rsid w:val="00B60CE0"/>
    <w:rsid w:val="00B73057"/>
    <w:rsid w:val="00C25538"/>
    <w:rsid w:val="00C46EBF"/>
    <w:rsid w:val="00D7582C"/>
    <w:rsid w:val="00D82B82"/>
    <w:rsid w:val="00DC1E1B"/>
    <w:rsid w:val="00DF4616"/>
    <w:rsid w:val="00ED556F"/>
    <w:rsid w:val="00F81314"/>
    <w:rsid w:val="00F81484"/>
    <w:rsid w:val="00F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eduardo.mata</dc:creator>
  <cp:lastModifiedBy>PPD</cp:lastModifiedBy>
  <cp:revision>10</cp:revision>
  <dcterms:created xsi:type="dcterms:W3CDTF">2012-11-25T04:02:00Z</dcterms:created>
  <dcterms:modified xsi:type="dcterms:W3CDTF">2012-11-25T05:00:00Z</dcterms:modified>
</cp:coreProperties>
</file>